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AE28" w14:textId="77777777" w:rsidR="00974E11" w:rsidRPr="00125421" w:rsidRDefault="00974E11" w:rsidP="00974E11">
      <w:pPr>
        <w:pStyle w:val="Default"/>
        <w:spacing w:before="360" w:line="360" w:lineRule="auto"/>
        <w:jc w:val="center"/>
        <w:rPr>
          <w:color w:val="17365D" w:themeColor="text2" w:themeShade="BF"/>
          <w:sz w:val="36"/>
          <w:szCs w:val="40"/>
        </w:rPr>
      </w:pPr>
      <w:r w:rsidRPr="00125421">
        <w:rPr>
          <w:color w:val="17365D" w:themeColor="text2" w:themeShade="BF"/>
          <w:sz w:val="36"/>
          <w:szCs w:val="40"/>
        </w:rPr>
        <w:t>PÁLYÁZATI FELHÍVÁS</w:t>
      </w:r>
    </w:p>
    <w:p w14:paraId="35C305D4" w14:textId="43FFF482" w:rsidR="00974E11" w:rsidRPr="00125421" w:rsidRDefault="00974E11" w:rsidP="00974E11">
      <w:pPr>
        <w:spacing w:line="360" w:lineRule="auto"/>
        <w:jc w:val="center"/>
        <w:rPr>
          <w:rFonts w:ascii="Trajan Pro" w:hAnsi="Trajan Pro" w:cs="Trajan Pro"/>
          <w:color w:val="17365D" w:themeColor="text2" w:themeShade="BF"/>
          <w:szCs w:val="40"/>
        </w:rPr>
      </w:pPr>
      <w:r w:rsidRPr="00125421">
        <w:rPr>
          <w:rFonts w:ascii="Trajan Pro" w:hAnsi="Trajan Pro" w:cs="Trajan Pro"/>
          <w:color w:val="17365D" w:themeColor="text2" w:themeShade="BF"/>
          <w:szCs w:val="40"/>
        </w:rPr>
        <w:t>TISZAROFFI ÖSZTÖNDÍJPÁLYÁZAT</w:t>
      </w:r>
      <w:r w:rsidR="008314C5">
        <w:rPr>
          <w:rFonts w:ascii="Trajan Pro" w:hAnsi="Trajan Pro" w:cs="Trajan Pro"/>
          <w:color w:val="17365D" w:themeColor="text2" w:themeShade="BF"/>
          <w:szCs w:val="40"/>
        </w:rPr>
        <w:t xml:space="preserve"> (Felsőoktatás)</w:t>
      </w:r>
    </w:p>
    <w:p w14:paraId="15C372EE" w14:textId="77777777" w:rsidR="00974E11" w:rsidRPr="00125421" w:rsidRDefault="00974E11" w:rsidP="00974E11">
      <w:pPr>
        <w:tabs>
          <w:tab w:val="center" w:pos="4762"/>
        </w:tabs>
        <w:spacing w:line="360" w:lineRule="auto"/>
        <w:rPr>
          <w:rFonts w:ascii="Minion Pro" w:hAnsi="Minion Pro"/>
          <w:b/>
          <w:color w:val="17365D" w:themeColor="text2" w:themeShade="BF"/>
          <w:sz w:val="10"/>
        </w:rPr>
      </w:pPr>
      <w:r w:rsidRPr="00125421">
        <w:rPr>
          <w:rFonts w:ascii="Minion Pro" w:hAnsi="Minion Pro"/>
          <w:b/>
          <w:color w:val="17365D" w:themeColor="text2" w:themeShade="BF"/>
        </w:rPr>
        <w:tab/>
      </w:r>
    </w:p>
    <w:p w14:paraId="061CD0EF" w14:textId="17052C37" w:rsidR="00974E11" w:rsidRPr="00125421" w:rsidRDefault="00974E11" w:rsidP="005B55C5">
      <w:pP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 xml:space="preserve">A </w:t>
      </w:r>
      <w:proofErr w:type="spellStart"/>
      <w:r w:rsidRPr="00125421">
        <w:rPr>
          <w:rFonts w:ascii="Minion Pro" w:hAnsi="Minion Pro"/>
          <w:color w:val="17365D" w:themeColor="text2" w:themeShade="BF"/>
        </w:rPr>
        <w:t>Merkating</w:t>
      </w:r>
      <w:proofErr w:type="spellEnd"/>
      <w:r w:rsidRPr="00125421">
        <w:rPr>
          <w:rFonts w:ascii="Minion Pro" w:hAnsi="Minion Pro"/>
          <w:color w:val="17365D" w:themeColor="text2" w:themeShade="BF"/>
        </w:rPr>
        <w:t xml:space="preserve"> Nonprofit Kft. meghirdeti a </w:t>
      </w:r>
      <w:proofErr w:type="spellStart"/>
      <w:r w:rsidRPr="00125421">
        <w:rPr>
          <w:rFonts w:ascii="Minion Pro" w:hAnsi="Minion Pro"/>
          <w:color w:val="17365D" w:themeColor="text2" w:themeShade="BF"/>
        </w:rPr>
        <w:t>Pallas</w:t>
      </w:r>
      <w:proofErr w:type="spellEnd"/>
      <w:r w:rsidRPr="00125421">
        <w:rPr>
          <w:rFonts w:ascii="Minion Pro" w:hAnsi="Minion Pro"/>
          <w:color w:val="17365D" w:themeColor="text2" w:themeShade="BF"/>
        </w:rPr>
        <w:t xml:space="preserve"> Athéné Domus </w:t>
      </w:r>
      <w:proofErr w:type="spellStart"/>
      <w:r w:rsidR="00C766CF">
        <w:rPr>
          <w:rFonts w:ascii="Minion Pro" w:hAnsi="Minion Pro"/>
          <w:color w:val="17365D" w:themeColor="text2" w:themeShade="BF"/>
        </w:rPr>
        <w:t>Meriti</w:t>
      </w:r>
      <w:proofErr w:type="spellEnd"/>
      <w:r w:rsidR="00C766CF">
        <w:rPr>
          <w:rFonts w:ascii="Minion Pro" w:hAnsi="Minion Pro"/>
          <w:color w:val="17365D" w:themeColor="text2" w:themeShade="BF"/>
        </w:rPr>
        <w:t xml:space="preserve"> </w:t>
      </w:r>
      <w:r w:rsidRPr="00125421">
        <w:rPr>
          <w:rFonts w:ascii="Minion Pro" w:hAnsi="Minion Pro"/>
          <w:color w:val="17365D" w:themeColor="text2" w:themeShade="BF"/>
        </w:rPr>
        <w:t xml:space="preserve">Alapítvány által támogatott </w:t>
      </w:r>
      <w:r w:rsidRPr="007813B0">
        <w:rPr>
          <w:rFonts w:ascii="Minion Pro" w:hAnsi="Minion Pro"/>
          <w:b/>
          <w:color w:val="17365D" w:themeColor="text2" w:themeShade="BF"/>
        </w:rPr>
        <w:t>20</w:t>
      </w:r>
      <w:r w:rsidR="008D0FC2" w:rsidRPr="007813B0">
        <w:rPr>
          <w:rFonts w:ascii="Minion Pro" w:hAnsi="Minion Pro"/>
          <w:b/>
          <w:color w:val="17365D" w:themeColor="text2" w:themeShade="BF"/>
        </w:rPr>
        <w:t>2</w:t>
      </w:r>
      <w:r w:rsidR="00671874" w:rsidRPr="007813B0">
        <w:rPr>
          <w:rFonts w:ascii="Minion Pro" w:hAnsi="Minion Pro"/>
          <w:b/>
          <w:color w:val="17365D" w:themeColor="text2" w:themeShade="BF"/>
        </w:rPr>
        <w:t>2</w:t>
      </w:r>
      <w:r w:rsidR="008D0FC2" w:rsidRPr="007813B0">
        <w:rPr>
          <w:rFonts w:ascii="Minion Pro" w:hAnsi="Minion Pro"/>
          <w:b/>
          <w:color w:val="17365D" w:themeColor="text2" w:themeShade="BF"/>
        </w:rPr>
        <w:t>/202</w:t>
      </w:r>
      <w:r w:rsidR="00671874" w:rsidRPr="007813B0">
        <w:rPr>
          <w:rFonts w:ascii="Minion Pro" w:hAnsi="Minion Pro"/>
          <w:b/>
          <w:color w:val="17365D" w:themeColor="text2" w:themeShade="BF"/>
        </w:rPr>
        <w:t>3</w:t>
      </w:r>
      <w:r w:rsidRPr="007813B0">
        <w:rPr>
          <w:rFonts w:ascii="Minion Pro" w:hAnsi="Minion Pro"/>
          <w:b/>
          <w:color w:val="17365D" w:themeColor="text2" w:themeShade="BF"/>
        </w:rPr>
        <w:t xml:space="preserve">. tanév </w:t>
      </w:r>
      <w:r w:rsidR="00EB5850" w:rsidRPr="007813B0">
        <w:rPr>
          <w:rFonts w:ascii="Minion Pro" w:hAnsi="Minion Pro"/>
          <w:b/>
          <w:color w:val="17365D" w:themeColor="text2" w:themeShade="BF"/>
        </w:rPr>
        <w:t>I</w:t>
      </w:r>
      <w:r w:rsidR="00F318DB" w:rsidRPr="007813B0">
        <w:rPr>
          <w:rFonts w:ascii="Minion Pro" w:hAnsi="Minion Pro"/>
          <w:b/>
          <w:color w:val="17365D" w:themeColor="text2" w:themeShade="BF"/>
        </w:rPr>
        <w:t>I</w:t>
      </w:r>
      <w:r w:rsidRPr="007813B0">
        <w:rPr>
          <w:rFonts w:ascii="Minion Pro" w:hAnsi="Minion Pro"/>
          <w:b/>
          <w:color w:val="17365D" w:themeColor="text2" w:themeShade="BF"/>
        </w:rPr>
        <w:t>.</w:t>
      </w:r>
      <w:r w:rsidRPr="00125421">
        <w:rPr>
          <w:rFonts w:ascii="Minion Pro" w:hAnsi="Minion Pro"/>
          <w:color w:val="17365D" w:themeColor="text2" w:themeShade="BF"/>
        </w:rPr>
        <w:t xml:space="preserve"> félévére</w:t>
      </w:r>
      <w:r w:rsidR="00C2242B">
        <w:rPr>
          <w:rFonts w:ascii="Minion Pro" w:hAnsi="Minion Pro"/>
          <w:color w:val="17365D" w:themeColor="text2" w:themeShade="BF"/>
        </w:rPr>
        <w:t xml:space="preserve"> (</w:t>
      </w:r>
      <w:r w:rsidR="00236BAB">
        <w:rPr>
          <w:rFonts w:ascii="Minion Pro" w:hAnsi="Minion Pro"/>
          <w:color w:val="17365D" w:themeColor="text2" w:themeShade="BF"/>
        </w:rPr>
        <w:t xml:space="preserve">a </w:t>
      </w:r>
      <w:r w:rsidR="00C2242B">
        <w:rPr>
          <w:rFonts w:ascii="Minion Pro" w:hAnsi="Minion Pro"/>
          <w:color w:val="17365D" w:themeColor="text2" w:themeShade="BF"/>
        </w:rPr>
        <w:t>továbbiakban</w:t>
      </w:r>
      <w:r w:rsidR="00236BAB">
        <w:rPr>
          <w:rFonts w:ascii="Minion Pro" w:hAnsi="Minion Pro"/>
          <w:color w:val="17365D" w:themeColor="text2" w:themeShade="BF"/>
        </w:rPr>
        <w:t>:</w:t>
      </w:r>
      <w:r w:rsidR="00C2242B">
        <w:rPr>
          <w:rFonts w:ascii="Minion Pro" w:hAnsi="Minion Pro"/>
          <w:color w:val="17365D" w:themeColor="text2" w:themeShade="BF"/>
        </w:rPr>
        <w:t xml:space="preserve"> </w:t>
      </w:r>
      <w:r w:rsidR="00C2242B" w:rsidRPr="00FB1209">
        <w:rPr>
          <w:rFonts w:ascii="Minion Pro" w:hAnsi="Minion Pro"/>
          <w:b/>
          <w:bCs/>
          <w:color w:val="17365D" w:themeColor="text2" w:themeShade="BF"/>
        </w:rPr>
        <w:t>aktuális</w:t>
      </w:r>
      <w:r w:rsidR="00C2242B">
        <w:rPr>
          <w:rFonts w:ascii="Minion Pro" w:hAnsi="Minion Pro"/>
          <w:color w:val="17365D" w:themeColor="text2" w:themeShade="BF"/>
        </w:rPr>
        <w:t>)</w:t>
      </w:r>
      <w:r w:rsidRPr="00125421">
        <w:rPr>
          <w:rFonts w:ascii="Minion Pro" w:hAnsi="Minion Pro"/>
          <w:color w:val="17365D" w:themeColor="text2" w:themeShade="BF"/>
        </w:rPr>
        <w:t xml:space="preserve"> vonatkozó „</w:t>
      </w:r>
      <w:proofErr w:type="spellStart"/>
      <w:r w:rsidRPr="00125421">
        <w:rPr>
          <w:rFonts w:ascii="Minion Pro" w:hAnsi="Minion Pro"/>
          <w:color w:val="17365D" w:themeColor="text2" w:themeShade="BF"/>
        </w:rPr>
        <w:t>Tiszaroffi</w:t>
      </w:r>
      <w:proofErr w:type="spellEnd"/>
      <w:r w:rsidRPr="00125421">
        <w:rPr>
          <w:rFonts w:ascii="Minion Pro" w:hAnsi="Minion Pro"/>
          <w:color w:val="17365D" w:themeColor="text2" w:themeShade="BF"/>
        </w:rPr>
        <w:t xml:space="preserve"> Ösztöndíjpályázatot”.</w:t>
      </w:r>
    </w:p>
    <w:p w14:paraId="6F1B5B30" w14:textId="77777777" w:rsidR="00974E11" w:rsidRPr="00125421" w:rsidRDefault="00974E11" w:rsidP="005B55C5">
      <w:pPr>
        <w:pBdr>
          <w:bottom w:val="single" w:sz="4" w:space="1" w:color="17365D" w:themeColor="text2" w:themeShade="BF"/>
        </w:pBd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1. A PÁLYÁZAT CÉLJA</w:t>
      </w:r>
    </w:p>
    <w:p w14:paraId="07863BA0" w14:textId="0DA64F51" w:rsidR="00974E11" w:rsidRPr="00125421" w:rsidRDefault="00974E11" w:rsidP="005B55C5">
      <w:pPr>
        <w:spacing w:after="360"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A Tiszaroff, Tiszabura, Tiszagyenda, Kőtelek, Tiszasüly, Tiszabő településeken élő</w:t>
      </w:r>
      <w:r w:rsidR="00F812EC">
        <w:rPr>
          <w:rFonts w:ascii="Minion Pro" w:hAnsi="Minion Pro"/>
          <w:color w:val="17365D" w:themeColor="text2" w:themeShade="BF"/>
        </w:rPr>
        <w:t>,</w:t>
      </w:r>
      <w:r w:rsidRPr="00125421">
        <w:rPr>
          <w:rFonts w:ascii="Minion Pro" w:hAnsi="Minion Pro"/>
          <w:color w:val="17365D" w:themeColor="text2" w:themeShade="BF"/>
        </w:rPr>
        <w:t xml:space="preserve"> felsőoktatási intézményben tanuló hallgatók tanulmányainak támogatása.</w:t>
      </w:r>
    </w:p>
    <w:p w14:paraId="43AA0DEA" w14:textId="77777777" w:rsidR="00974E11" w:rsidRPr="00125421" w:rsidRDefault="00974E11" w:rsidP="005B55C5">
      <w:pPr>
        <w:pBdr>
          <w:bottom w:val="single" w:sz="4" w:space="1" w:color="17365D" w:themeColor="text2" w:themeShade="BF"/>
        </w:pBd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2. A PÁLYÁZÓK KÖRE</w:t>
      </w:r>
    </w:p>
    <w:p w14:paraId="6DE4AAF6" w14:textId="3236EA6F" w:rsidR="00974E11" w:rsidRDefault="00974E11" w:rsidP="005B55C5">
      <w:pP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 xml:space="preserve">Az ösztöndíjpályázatra azoknak a települési önkormányzatoknak az illetékességi területén legalább </w:t>
      </w:r>
      <w:r>
        <w:rPr>
          <w:rFonts w:ascii="Minion Pro" w:hAnsi="Minion Pro"/>
          <w:color w:val="17365D" w:themeColor="text2" w:themeShade="BF"/>
        </w:rPr>
        <w:br/>
      </w:r>
      <w:r w:rsidRPr="007813B0">
        <w:rPr>
          <w:rFonts w:ascii="Minion Pro" w:hAnsi="Minion Pro"/>
          <w:b/>
          <w:bCs/>
          <w:color w:val="17365D" w:themeColor="text2" w:themeShade="BF"/>
        </w:rPr>
        <w:t>201</w:t>
      </w:r>
      <w:r w:rsidR="00C81BAE" w:rsidRPr="007813B0">
        <w:rPr>
          <w:rFonts w:ascii="Minion Pro" w:hAnsi="Minion Pro"/>
          <w:b/>
          <w:bCs/>
          <w:color w:val="17365D" w:themeColor="text2" w:themeShade="BF"/>
        </w:rPr>
        <w:t>9</w:t>
      </w:r>
      <w:r w:rsidRPr="007813B0">
        <w:rPr>
          <w:rFonts w:ascii="Minion Pro" w:hAnsi="Minion Pro"/>
          <w:b/>
          <w:bCs/>
          <w:color w:val="17365D" w:themeColor="text2" w:themeShade="BF"/>
        </w:rPr>
        <w:t>. augusztus 1-jétől</w:t>
      </w:r>
      <w:r w:rsidR="00905C27" w:rsidRPr="007813B0">
        <w:rPr>
          <w:rFonts w:ascii="Minion Pro" w:hAnsi="Minion Pro"/>
          <w:color w:val="17365D" w:themeColor="text2" w:themeShade="BF"/>
        </w:rPr>
        <w:t xml:space="preserve"> </w:t>
      </w:r>
      <w:r w:rsidRPr="00125421">
        <w:rPr>
          <w:rFonts w:ascii="Minion Pro" w:hAnsi="Minion Pro"/>
          <w:color w:val="17365D" w:themeColor="text2" w:themeShade="BF"/>
        </w:rPr>
        <w:t xml:space="preserve">állandó lakóhellyel* rendelkező hallgatók jelentkezhetnek, akik </w:t>
      </w:r>
      <w:r>
        <w:rPr>
          <w:rFonts w:ascii="Minion Pro" w:hAnsi="Minion Pro"/>
          <w:color w:val="17365D" w:themeColor="text2" w:themeShade="BF"/>
        </w:rPr>
        <w:br/>
      </w:r>
      <w:r w:rsidRPr="00125421">
        <w:rPr>
          <w:rFonts w:ascii="Minion Pro" w:hAnsi="Minion Pro"/>
          <w:color w:val="17365D" w:themeColor="text2" w:themeShade="BF"/>
        </w:rPr>
        <w:t xml:space="preserve">felsőoktatási intézményben (felsőoktatási hallgatói jogviszony keretében) nappali, levelező, vagy távoktatás munkarendben, alapfokozatot és szakképzettséget eredményező alapképzésben, mesterfokozatot </w:t>
      </w:r>
      <w:r w:rsidR="007A3408">
        <w:rPr>
          <w:rFonts w:ascii="Minion Pro" w:hAnsi="Minion Pro"/>
          <w:color w:val="17365D" w:themeColor="text2" w:themeShade="BF"/>
        </w:rPr>
        <w:t xml:space="preserve">és </w:t>
      </w:r>
      <w:r w:rsidRPr="007A3408">
        <w:rPr>
          <w:rFonts w:ascii="Minion Pro" w:hAnsi="Minion Pro"/>
          <w:color w:val="17365D" w:themeColor="text2" w:themeShade="BF"/>
        </w:rPr>
        <w:t xml:space="preserve">szakképzettséget eredményező mesterképzésben, osztatlan képzésben, </w:t>
      </w:r>
      <w:r w:rsidR="008F17C9">
        <w:rPr>
          <w:rFonts w:ascii="Minion Pro" w:hAnsi="Minion Pro"/>
          <w:color w:val="17365D" w:themeColor="text2" w:themeShade="BF"/>
        </w:rPr>
        <w:t>gazdaság</w:t>
      </w:r>
      <w:r w:rsidR="00D23592">
        <w:rPr>
          <w:rFonts w:ascii="Minion Pro" w:hAnsi="Minion Pro"/>
          <w:color w:val="17365D" w:themeColor="text2" w:themeShade="BF"/>
        </w:rPr>
        <w:t>tudományok</w:t>
      </w:r>
      <w:r w:rsidR="008F17C9">
        <w:rPr>
          <w:rFonts w:ascii="Minion Pro" w:hAnsi="Minion Pro"/>
          <w:color w:val="17365D" w:themeColor="text2" w:themeShade="BF"/>
        </w:rPr>
        <w:t xml:space="preserve"> képzési területen </w:t>
      </w:r>
      <w:r w:rsidRPr="007A3408">
        <w:rPr>
          <w:rFonts w:ascii="Minion Pro" w:hAnsi="Minion Pro"/>
          <w:color w:val="17365D" w:themeColor="text2" w:themeShade="BF"/>
        </w:rPr>
        <w:t>felsőoktatási szakképzésben, valamint doktori képzésben folytatják tanulmányaikat.</w:t>
      </w:r>
    </w:p>
    <w:p w14:paraId="75BBF314" w14:textId="385FF376" w:rsidR="00DE0DC8" w:rsidRPr="007813B0" w:rsidRDefault="00DE0DC8" w:rsidP="005B55C5">
      <w:pPr>
        <w:spacing w:line="360" w:lineRule="auto"/>
        <w:jc w:val="both"/>
        <w:rPr>
          <w:rFonts w:ascii="Minion Pro" w:hAnsi="Minion Pro"/>
          <w:b/>
          <w:bCs/>
          <w:color w:val="17365D" w:themeColor="text2" w:themeShade="BF"/>
        </w:rPr>
      </w:pPr>
      <w:r w:rsidRPr="007813B0">
        <w:rPr>
          <w:rFonts w:ascii="Minion Pro" w:hAnsi="Minion Pro"/>
          <w:b/>
          <w:bCs/>
          <w:color w:val="17365D" w:themeColor="text2" w:themeShade="BF"/>
        </w:rPr>
        <w:t>Azon pályázók</w:t>
      </w:r>
      <w:r w:rsidR="00D6665D">
        <w:rPr>
          <w:rFonts w:ascii="Minion Pro" w:hAnsi="Minion Pro"/>
          <w:b/>
          <w:bCs/>
          <w:color w:val="17365D" w:themeColor="text2" w:themeShade="BF"/>
        </w:rPr>
        <w:t>,</w:t>
      </w:r>
      <w:r w:rsidRPr="007813B0">
        <w:rPr>
          <w:rFonts w:ascii="Minion Pro" w:hAnsi="Minion Pro"/>
          <w:b/>
          <w:bCs/>
          <w:color w:val="17365D" w:themeColor="text2" w:themeShade="BF"/>
        </w:rPr>
        <w:t xml:space="preserve"> akiknél a település önkormányzata, intézményei, vállalkozásai szempontjából elvárás a felsőfokú képzettség megszerzése – még nincs / már tanul, de még nem pályázott - szintén pályázhatnak.  </w:t>
      </w:r>
      <w:r w:rsidR="00D6665D">
        <w:rPr>
          <w:rFonts w:ascii="Minion Pro" w:hAnsi="Minion Pro"/>
          <w:b/>
          <w:bCs/>
          <w:color w:val="17365D" w:themeColor="text2" w:themeShade="BF"/>
        </w:rPr>
        <w:t>T</w:t>
      </w:r>
      <w:r w:rsidR="00D6665D" w:rsidRPr="007813B0">
        <w:rPr>
          <w:rFonts w:ascii="Minion Pro" w:hAnsi="Minion Pro"/>
          <w:b/>
          <w:bCs/>
          <w:color w:val="17365D" w:themeColor="text2" w:themeShade="BF"/>
        </w:rPr>
        <w:t>ámogató ajánlás</w:t>
      </w:r>
      <w:r w:rsidR="00D6665D">
        <w:rPr>
          <w:rFonts w:ascii="Minion Pro" w:hAnsi="Minion Pro"/>
          <w:b/>
          <w:bCs/>
          <w:color w:val="17365D" w:themeColor="text2" w:themeShade="BF"/>
        </w:rPr>
        <w:t xml:space="preserve"> beszerzése javasolt. </w:t>
      </w:r>
    </w:p>
    <w:p w14:paraId="787FA137" w14:textId="77777777" w:rsidR="00974E11" w:rsidRDefault="00974E11" w:rsidP="005B55C5">
      <w:pPr>
        <w:spacing w:after="360"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A pályázat minden félévben ismételten kiírásra kerül és a feltételek fennállása esetén újból pályázható, legfeljebb a képzési idő másfélszeresének időtartamáig.</w:t>
      </w:r>
    </w:p>
    <w:p w14:paraId="5358B2F1" w14:textId="77777777" w:rsidR="00974E11" w:rsidRPr="00125421" w:rsidRDefault="00974E11" w:rsidP="005B55C5">
      <w:pPr>
        <w:pBdr>
          <w:bottom w:val="single" w:sz="4" w:space="1" w:color="17365D" w:themeColor="text2" w:themeShade="BF"/>
        </w:pBd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 xml:space="preserve">3. A PÁLYÁZAT BENYÚJTÁSÁNAK MÓDJA ÉS HATÁRIDEJE </w:t>
      </w:r>
    </w:p>
    <w:p w14:paraId="14BBDD94" w14:textId="23D7D962" w:rsidR="005E5160" w:rsidRDefault="00974E11" w:rsidP="005E5160">
      <w:pP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7A3408">
        <w:rPr>
          <w:rFonts w:ascii="Minion Pro" w:hAnsi="Minion Pro"/>
          <w:color w:val="17365D" w:themeColor="text2" w:themeShade="BF"/>
        </w:rPr>
        <w:t xml:space="preserve">A pályázat benyújtásának határideje: </w:t>
      </w:r>
      <w:r w:rsidRPr="00D86E62">
        <w:rPr>
          <w:rFonts w:ascii="Minion Pro" w:hAnsi="Minion Pro"/>
          <w:b/>
          <w:color w:val="17365D" w:themeColor="text2" w:themeShade="BF"/>
          <w:sz w:val="26"/>
          <w:szCs w:val="28"/>
        </w:rPr>
        <w:t>20</w:t>
      </w:r>
      <w:r w:rsidR="00F318DB" w:rsidRPr="00D86E62">
        <w:rPr>
          <w:rFonts w:ascii="Minion Pro" w:hAnsi="Minion Pro"/>
          <w:b/>
          <w:color w:val="17365D" w:themeColor="text2" w:themeShade="BF"/>
          <w:sz w:val="26"/>
          <w:szCs w:val="28"/>
        </w:rPr>
        <w:t>2</w:t>
      </w:r>
      <w:r w:rsidR="00EB5850" w:rsidRPr="00D86E62">
        <w:rPr>
          <w:rFonts w:ascii="Minion Pro" w:hAnsi="Minion Pro"/>
          <w:b/>
          <w:color w:val="17365D" w:themeColor="text2" w:themeShade="BF"/>
          <w:sz w:val="26"/>
          <w:szCs w:val="28"/>
        </w:rPr>
        <w:t>3.</w:t>
      </w:r>
      <w:r w:rsidRPr="00D86E62">
        <w:rPr>
          <w:rFonts w:ascii="Minion Pro" w:hAnsi="Minion Pro"/>
          <w:b/>
          <w:color w:val="17365D" w:themeColor="text2" w:themeShade="BF"/>
          <w:sz w:val="26"/>
          <w:szCs w:val="28"/>
        </w:rPr>
        <w:t xml:space="preserve"> </w:t>
      </w:r>
      <w:r w:rsidR="00905C27" w:rsidRPr="00D86E62">
        <w:rPr>
          <w:rFonts w:ascii="Minion Pro" w:hAnsi="Minion Pro"/>
          <w:b/>
          <w:color w:val="17365D" w:themeColor="text2" w:themeShade="BF"/>
          <w:sz w:val="26"/>
          <w:szCs w:val="28"/>
        </w:rPr>
        <w:t xml:space="preserve">03. </w:t>
      </w:r>
      <w:r w:rsidR="00D86E62" w:rsidRPr="00D86E62">
        <w:rPr>
          <w:rFonts w:ascii="Minion Pro" w:hAnsi="Minion Pro"/>
          <w:b/>
          <w:color w:val="17365D" w:themeColor="text2" w:themeShade="BF"/>
          <w:sz w:val="26"/>
          <w:szCs w:val="28"/>
        </w:rPr>
        <w:t>25</w:t>
      </w:r>
      <w:r w:rsidR="00DE0DC8" w:rsidRPr="00D86E62">
        <w:rPr>
          <w:rFonts w:ascii="Minion Pro" w:hAnsi="Minion Pro"/>
          <w:b/>
          <w:color w:val="17365D" w:themeColor="text2" w:themeShade="BF"/>
          <w:sz w:val="26"/>
          <w:szCs w:val="28"/>
        </w:rPr>
        <w:t>-ig</w:t>
      </w:r>
      <w:r w:rsidR="008C436B" w:rsidRPr="007813B0">
        <w:rPr>
          <w:rFonts w:ascii="Minion Pro" w:hAnsi="Minion Pro"/>
          <w:b/>
          <w:color w:val="17365D" w:themeColor="text2" w:themeShade="BF"/>
        </w:rPr>
        <w:t>.</w:t>
      </w:r>
      <w:r w:rsidR="00330C44">
        <w:rPr>
          <w:rFonts w:ascii="Minion Pro" w:hAnsi="Minion Pro"/>
          <w:b/>
          <w:color w:val="17365D" w:themeColor="text2" w:themeShade="BF"/>
        </w:rPr>
        <w:t xml:space="preserve"> </w:t>
      </w:r>
      <w:r w:rsidRPr="007A3408">
        <w:rPr>
          <w:rFonts w:ascii="Minion Pro" w:hAnsi="Minion Pro"/>
          <w:color w:val="17365D" w:themeColor="text2" w:themeShade="BF"/>
        </w:rPr>
        <w:t xml:space="preserve">A </w:t>
      </w:r>
      <w:r w:rsidRPr="007813B0">
        <w:rPr>
          <w:rFonts w:ascii="Minion Pro" w:hAnsi="Minion Pro"/>
          <w:b/>
          <w:bCs/>
          <w:color w:val="17365D" w:themeColor="text2" w:themeShade="BF"/>
        </w:rPr>
        <w:t xml:space="preserve">pályázat egy példányát postai úton </w:t>
      </w:r>
      <w:r w:rsidR="007A3408" w:rsidRPr="00875167">
        <w:rPr>
          <w:rFonts w:ascii="Minion Pro" w:hAnsi="Minion Pro"/>
          <w:color w:val="17365D" w:themeColor="text2" w:themeShade="BF"/>
        </w:rPr>
        <w:t>vagy</w:t>
      </w:r>
      <w:r w:rsidR="007A3408" w:rsidRPr="007813B0">
        <w:rPr>
          <w:rFonts w:ascii="Minion Pro" w:hAnsi="Minion Pro"/>
          <w:b/>
          <w:bCs/>
          <w:color w:val="17365D" w:themeColor="text2" w:themeShade="BF"/>
        </w:rPr>
        <w:t xml:space="preserve"> személyesen</w:t>
      </w:r>
      <w:r w:rsidR="007A3408" w:rsidRPr="007A3408">
        <w:rPr>
          <w:rFonts w:ascii="Minion Pro" w:hAnsi="Minion Pro"/>
          <w:color w:val="17365D" w:themeColor="text2" w:themeShade="BF"/>
        </w:rPr>
        <w:t xml:space="preserve"> a </w:t>
      </w:r>
      <w:proofErr w:type="spellStart"/>
      <w:r w:rsidRPr="007A3408">
        <w:rPr>
          <w:rFonts w:ascii="Minion Pro" w:hAnsi="Minion Pro"/>
          <w:color w:val="17365D" w:themeColor="text2" w:themeShade="BF"/>
        </w:rPr>
        <w:t>Merkating</w:t>
      </w:r>
      <w:proofErr w:type="spellEnd"/>
      <w:r w:rsidRPr="007A3408">
        <w:rPr>
          <w:rFonts w:ascii="Minion Pro" w:hAnsi="Minion Pro"/>
          <w:color w:val="17365D" w:themeColor="text2" w:themeShade="BF"/>
        </w:rPr>
        <w:t xml:space="preserve"> Nonprofit Kft. (5000 Szolnok, Tiszaligeti sétány 14.) cím</w:t>
      </w:r>
      <w:r w:rsidR="009A6500">
        <w:rPr>
          <w:rFonts w:ascii="Minion Pro" w:hAnsi="Minion Pro"/>
          <w:color w:val="17365D" w:themeColor="text2" w:themeShade="BF"/>
        </w:rPr>
        <w:t>é</w:t>
      </w:r>
      <w:r w:rsidRPr="007A3408">
        <w:rPr>
          <w:rFonts w:ascii="Minion Pro" w:hAnsi="Minion Pro"/>
          <w:color w:val="17365D" w:themeColor="text2" w:themeShade="BF"/>
        </w:rPr>
        <w:t>re kell megküldeni. A pályázatot a „pályázati űrlap” nyomtatványon kell benyújtani.</w:t>
      </w:r>
      <w:r w:rsidR="005E5160" w:rsidRPr="005E5160">
        <w:rPr>
          <w:rFonts w:ascii="Minion Pro" w:hAnsi="Minion Pro"/>
          <w:color w:val="17365D" w:themeColor="text2" w:themeShade="BF"/>
        </w:rPr>
        <w:t xml:space="preserve"> </w:t>
      </w:r>
    </w:p>
    <w:p w14:paraId="798397AC" w14:textId="61B6CB25" w:rsidR="00974E11" w:rsidRPr="00125421" w:rsidRDefault="00974E11" w:rsidP="005B55C5">
      <w:pPr>
        <w:spacing w:line="360" w:lineRule="auto"/>
        <w:jc w:val="both"/>
        <w:rPr>
          <w:rFonts w:ascii="Minion Pro" w:hAnsi="Minion Pro"/>
          <w:color w:val="17365D" w:themeColor="text2" w:themeShade="BF"/>
          <w:u w:val="single"/>
        </w:rPr>
      </w:pPr>
      <w:r w:rsidRPr="00125421">
        <w:rPr>
          <w:rFonts w:ascii="Minion Pro" w:hAnsi="Minion Pro"/>
          <w:color w:val="17365D" w:themeColor="text2" w:themeShade="BF"/>
          <w:u w:val="single"/>
        </w:rPr>
        <w:lastRenderedPageBreak/>
        <w:t>A pályázat kötelező mellékletei:</w:t>
      </w:r>
    </w:p>
    <w:p w14:paraId="485E8F1B" w14:textId="6031A4C3" w:rsidR="00974E11" w:rsidRPr="00236BAB" w:rsidRDefault="00974E11" w:rsidP="005B55C5">
      <w:pPr>
        <w:numPr>
          <w:ilvl w:val="0"/>
          <w:numId w:val="4"/>
        </w:numPr>
        <w:spacing w:line="360" w:lineRule="auto"/>
        <w:jc w:val="both"/>
        <w:rPr>
          <w:rFonts w:ascii="Minion Pro" w:hAnsi="Minion Pro"/>
          <w:i/>
          <w:color w:val="17365D" w:themeColor="text2" w:themeShade="BF"/>
        </w:rPr>
      </w:pPr>
      <w:r w:rsidRPr="00125421">
        <w:rPr>
          <w:rFonts w:ascii="Minion Pro" w:hAnsi="Minion Pro"/>
          <w:i/>
          <w:color w:val="17365D" w:themeColor="text2" w:themeShade="BF"/>
        </w:rPr>
        <w:t>A felsőoktatási intézmény által kitöltött, eredeti, aktív hallgatói jogviszony-igazolás a</w:t>
      </w:r>
      <w:r w:rsidR="00C2242B">
        <w:rPr>
          <w:rFonts w:ascii="Minion Pro" w:hAnsi="Minion Pro"/>
          <w:i/>
          <w:color w:val="17365D" w:themeColor="text2" w:themeShade="BF"/>
        </w:rPr>
        <w:t>z</w:t>
      </w:r>
      <w:r w:rsidRPr="00125421">
        <w:rPr>
          <w:rFonts w:ascii="Minion Pro" w:hAnsi="Minion Pro"/>
          <w:i/>
          <w:color w:val="17365D" w:themeColor="text2" w:themeShade="BF"/>
        </w:rPr>
        <w:t xml:space="preserve"> </w:t>
      </w:r>
      <w:r w:rsidR="00C2242B" w:rsidRPr="00236BAB">
        <w:rPr>
          <w:rFonts w:ascii="Minion Pro" w:hAnsi="Minion Pro"/>
          <w:i/>
          <w:color w:val="17365D" w:themeColor="text2" w:themeShade="BF"/>
        </w:rPr>
        <w:t xml:space="preserve">aktuális </w:t>
      </w:r>
      <w:r w:rsidRPr="00236BAB">
        <w:rPr>
          <w:rFonts w:ascii="Minion Pro" w:hAnsi="Minion Pro"/>
          <w:i/>
          <w:color w:val="17365D" w:themeColor="text2" w:themeShade="BF"/>
        </w:rPr>
        <w:t xml:space="preserve">tanév </w:t>
      </w:r>
      <w:r w:rsidR="00C2242B" w:rsidRPr="00236BAB">
        <w:rPr>
          <w:rFonts w:ascii="Minion Pro" w:hAnsi="Minion Pro"/>
          <w:i/>
          <w:color w:val="17365D" w:themeColor="text2" w:themeShade="BF"/>
        </w:rPr>
        <w:t>aktuális</w:t>
      </w:r>
      <w:r w:rsidRPr="00236BAB">
        <w:rPr>
          <w:rFonts w:ascii="Minion Pro" w:hAnsi="Minion Pro"/>
          <w:i/>
          <w:color w:val="17365D" w:themeColor="text2" w:themeShade="BF"/>
        </w:rPr>
        <w:t xml:space="preserve"> félévéről.</w:t>
      </w:r>
    </w:p>
    <w:p w14:paraId="6EA4CEC1" w14:textId="77777777" w:rsidR="00974E11" w:rsidRPr="00125421" w:rsidRDefault="00974E11" w:rsidP="005B55C5">
      <w:pPr>
        <w:numPr>
          <w:ilvl w:val="0"/>
          <w:numId w:val="4"/>
        </w:numPr>
        <w:spacing w:line="360" w:lineRule="auto"/>
        <w:jc w:val="both"/>
        <w:rPr>
          <w:rFonts w:ascii="Minion Pro" w:hAnsi="Minion Pro"/>
          <w:i/>
          <w:color w:val="17365D" w:themeColor="text2" w:themeShade="BF"/>
        </w:rPr>
      </w:pPr>
      <w:r w:rsidRPr="00125421">
        <w:rPr>
          <w:rFonts w:ascii="Minion Pro" w:hAnsi="Minion Pro"/>
          <w:i/>
          <w:color w:val="17365D" w:themeColor="text2" w:themeShade="BF"/>
        </w:rPr>
        <w:t>A hallgató lakcímkártyájának fénymásolata.</w:t>
      </w:r>
    </w:p>
    <w:p w14:paraId="439CBB0C" w14:textId="221E4D97" w:rsidR="00974E11" w:rsidRDefault="00974E11" w:rsidP="005B55C5">
      <w:pPr>
        <w:numPr>
          <w:ilvl w:val="0"/>
          <w:numId w:val="4"/>
        </w:numPr>
        <w:spacing w:line="360" w:lineRule="auto"/>
        <w:jc w:val="both"/>
        <w:rPr>
          <w:rFonts w:ascii="Minion Pro" w:hAnsi="Minion Pro"/>
          <w:i/>
          <w:color w:val="17365D" w:themeColor="text2" w:themeShade="BF"/>
        </w:rPr>
      </w:pPr>
      <w:r w:rsidRPr="00125421">
        <w:rPr>
          <w:rFonts w:ascii="Minion Pro" w:hAnsi="Minion Pro"/>
          <w:i/>
          <w:color w:val="17365D" w:themeColor="text2" w:themeShade="BF"/>
        </w:rPr>
        <w:t xml:space="preserve">A felsőoktatási intézmény igazolása a </w:t>
      </w:r>
      <w:r w:rsidR="00F812EC">
        <w:rPr>
          <w:rFonts w:ascii="Minion Pro" w:hAnsi="Minion Pro"/>
          <w:i/>
          <w:color w:val="17365D" w:themeColor="text2" w:themeShade="BF"/>
        </w:rPr>
        <w:t>meg</w:t>
      </w:r>
      <w:r w:rsidRPr="00125421">
        <w:rPr>
          <w:rFonts w:ascii="Minion Pro" w:hAnsi="Minion Pro"/>
          <w:i/>
          <w:color w:val="17365D" w:themeColor="text2" w:themeShade="BF"/>
        </w:rPr>
        <w:t>pályázott félévet megelőző aktív félév kari/intézményi átlagáról, valamint a pályázó féléves kreditekkel súlyozott tanulmányi átlagáról. (Kivéve a tanulmányaikat az adott félévben kezdő hallgatókat.</w:t>
      </w:r>
      <w:r w:rsidR="00F318DB">
        <w:rPr>
          <w:rFonts w:ascii="Minion Pro" w:hAnsi="Minion Pro"/>
          <w:i/>
          <w:color w:val="17365D" w:themeColor="text2" w:themeShade="BF"/>
        </w:rPr>
        <w:t xml:space="preserve"> Ők a minimum összeggel kezdenek</w:t>
      </w:r>
      <w:r w:rsidRPr="00125421">
        <w:rPr>
          <w:rFonts w:ascii="Minion Pro" w:hAnsi="Minion Pro"/>
          <w:i/>
          <w:color w:val="17365D" w:themeColor="text2" w:themeShade="BF"/>
        </w:rPr>
        <w:t>)</w:t>
      </w:r>
    </w:p>
    <w:p w14:paraId="48FBADB5" w14:textId="3AC09824" w:rsidR="00586430" w:rsidRPr="00586430" w:rsidRDefault="00974E11" w:rsidP="005B55C5">
      <w:pPr>
        <w:numPr>
          <w:ilvl w:val="0"/>
          <w:numId w:val="4"/>
        </w:numPr>
        <w:spacing w:after="360" w:line="360" w:lineRule="auto"/>
        <w:jc w:val="both"/>
        <w:rPr>
          <w:rFonts w:ascii="Minion Pro" w:hAnsi="Minion Pro"/>
          <w:color w:val="17365D" w:themeColor="text2" w:themeShade="BF"/>
        </w:rPr>
      </w:pPr>
      <w:r w:rsidRPr="00586430">
        <w:rPr>
          <w:rFonts w:ascii="Minion Pro" w:hAnsi="Minion Pro"/>
          <w:i/>
          <w:color w:val="17365D" w:themeColor="text2" w:themeShade="BF"/>
        </w:rPr>
        <w:t xml:space="preserve">Doktori képzésben résztvevők esetében a c) pont helyett a </w:t>
      </w:r>
      <w:r w:rsidR="00F812EC">
        <w:rPr>
          <w:rFonts w:ascii="Minion Pro" w:hAnsi="Minion Pro"/>
          <w:i/>
          <w:color w:val="17365D" w:themeColor="text2" w:themeShade="BF"/>
        </w:rPr>
        <w:t>meg</w:t>
      </w:r>
      <w:r w:rsidRPr="00586430">
        <w:rPr>
          <w:rFonts w:ascii="Minion Pro" w:hAnsi="Minion Pro"/>
          <w:i/>
          <w:color w:val="17365D" w:themeColor="text2" w:themeShade="BF"/>
        </w:rPr>
        <w:t xml:space="preserve">pályázott félévet megelőző aktív félév tanulmányi átlagáról a Tanulmányi Osztály által, </w:t>
      </w:r>
      <w:r w:rsidR="00797822">
        <w:rPr>
          <w:rFonts w:ascii="Minion Pro" w:hAnsi="Minion Pro"/>
          <w:i/>
          <w:color w:val="17365D" w:themeColor="text2" w:themeShade="BF"/>
        </w:rPr>
        <w:t>és</w:t>
      </w:r>
      <w:r w:rsidR="00797822" w:rsidRPr="00586430">
        <w:rPr>
          <w:rFonts w:ascii="Minion Pro" w:hAnsi="Minion Pro"/>
          <w:i/>
          <w:color w:val="17365D" w:themeColor="text2" w:themeShade="BF"/>
        </w:rPr>
        <w:t xml:space="preserve"> </w:t>
      </w:r>
      <w:r w:rsidRPr="00586430">
        <w:rPr>
          <w:rFonts w:ascii="Minion Pro" w:hAnsi="Minion Pro"/>
          <w:i/>
          <w:color w:val="17365D" w:themeColor="text2" w:themeShade="BF"/>
        </w:rPr>
        <w:t>az aktív hallgatói jogviszonyhoz szükséges feltételeket tartalmazó, a Doktori Iskola</w:t>
      </w:r>
      <w:r w:rsidR="00586430">
        <w:rPr>
          <w:rFonts w:ascii="Minion Pro" w:hAnsi="Minion Pro"/>
          <w:i/>
          <w:color w:val="17365D" w:themeColor="text2" w:themeShade="BF"/>
        </w:rPr>
        <w:t>,</w:t>
      </w:r>
      <w:r w:rsidRPr="00586430">
        <w:rPr>
          <w:rFonts w:ascii="Minion Pro" w:hAnsi="Minion Pro"/>
          <w:i/>
          <w:color w:val="17365D" w:themeColor="text2" w:themeShade="BF"/>
        </w:rPr>
        <w:t xml:space="preserve"> avagy a Tanulmányi Osztály által kiállított igazolás. </w:t>
      </w:r>
    </w:p>
    <w:p w14:paraId="6E258BD1" w14:textId="3A7E01C3" w:rsidR="00974E11" w:rsidRPr="00586430" w:rsidRDefault="00974E11" w:rsidP="00905C27">
      <w:pPr>
        <w:spacing w:after="240" w:line="360" w:lineRule="auto"/>
        <w:jc w:val="both"/>
        <w:rPr>
          <w:rFonts w:ascii="Minion Pro" w:hAnsi="Minion Pro"/>
          <w:color w:val="17365D" w:themeColor="text2" w:themeShade="BF"/>
        </w:rPr>
      </w:pPr>
      <w:r w:rsidRPr="00586430">
        <w:rPr>
          <w:rFonts w:ascii="Minion Pro" w:hAnsi="Minion Pro"/>
          <w:color w:val="17365D" w:themeColor="text2" w:themeShade="BF"/>
        </w:rPr>
        <w:t>A pályázati űrlap csak a fent meghatározott kötelező mellékletekkel együtt érvényes, valamely melléklet hiányában a pályázat formai hibásnak minősül</w:t>
      </w:r>
      <w:r w:rsidR="00797822">
        <w:rPr>
          <w:rFonts w:ascii="Minion Pro" w:hAnsi="Minion Pro"/>
          <w:color w:val="17365D" w:themeColor="text2" w:themeShade="BF"/>
        </w:rPr>
        <w:t xml:space="preserve"> és a hiba jellegétől függően a Bíráló Bizottság dönt annak elutasításáról</w:t>
      </w:r>
      <w:r w:rsidR="00236BAB">
        <w:rPr>
          <w:rFonts w:ascii="Minion Pro" w:hAnsi="Minion Pro"/>
          <w:color w:val="17365D" w:themeColor="text2" w:themeShade="BF"/>
        </w:rPr>
        <w:t>,</w:t>
      </w:r>
      <w:r w:rsidR="00797822">
        <w:rPr>
          <w:rFonts w:ascii="Minion Pro" w:hAnsi="Minion Pro"/>
          <w:color w:val="17365D" w:themeColor="text2" w:themeShade="BF"/>
        </w:rPr>
        <w:t xml:space="preserve"> vagy a pályázót hiánypótlásra kötelezi. </w:t>
      </w:r>
      <w:r w:rsidR="00F812EC">
        <w:rPr>
          <w:rFonts w:ascii="Minion Pro" w:hAnsi="Minion Pro"/>
          <w:color w:val="17365D" w:themeColor="text2" w:themeShade="BF"/>
        </w:rPr>
        <w:t xml:space="preserve"> </w:t>
      </w:r>
    </w:p>
    <w:p w14:paraId="3171BF72" w14:textId="77777777" w:rsidR="00974E11" w:rsidRPr="00125421" w:rsidRDefault="00974E11" w:rsidP="005B55C5">
      <w:pPr>
        <w:pBdr>
          <w:bottom w:val="single" w:sz="4" w:space="1" w:color="17365D" w:themeColor="text2" w:themeShade="BF"/>
        </w:pBd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4. ADATKEZELÉS</w:t>
      </w:r>
    </w:p>
    <w:p w14:paraId="73CA4F41" w14:textId="08518593" w:rsidR="00974E11" w:rsidRPr="00125421" w:rsidRDefault="00974E11" w:rsidP="00905C27">
      <w:pPr>
        <w:spacing w:after="240"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A pályázó a pályázati anyag leadásával hozzájárul ahhoz, hogy adatait a pályázatban részt vevő felek</w:t>
      </w:r>
      <w:r w:rsidR="00236BAB">
        <w:rPr>
          <w:rFonts w:ascii="Minion Pro" w:hAnsi="Minion Pro"/>
          <w:color w:val="17365D" w:themeColor="text2" w:themeShade="BF"/>
        </w:rPr>
        <w:t xml:space="preserve"> </w:t>
      </w:r>
      <w:r w:rsidRPr="00125421">
        <w:rPr>
          <w:rFonts w:ascii="Minion Pro" w:hAnsi="Minion Pro"/>
          <w:color w:val="17365D" w:themeColor="text2" w:themeShade="BF"/>
        </w:rPr>
        <w:t>megismerhetik.</w:t>
      </w:r>
    </w:p>
    <w:p w14:paraId="334F5E76" w14:textId="77777777" w:rsidR="00974E11" w:rsidRPr="00125421" w:rsidRDefault="00974E11" w:rsidP="005B55C5">
      <w:pPr>
        <w:pBdr>
          <w:bottom w:val="single" w:sz="4" w:space="1" w:color="17365D" w:themeColor="text2" w:themeShade="BF"/>
        </w:pBd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5. A PÁLYÁZAT ELBÍRÁLÁSA</w:t>
      </w:r>
    </w:p>
    <w:p w14:paraId="06E79370" w14:textId="42CA0021" w:rsidR="00974E11" w:rsidRDefault="00974E11" w:rsidP="00905C27">
      <w:pPr>
        <w:spacing w:after="240"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 xml:space="preserve">A pályázatok elbírálását </w:t>
      </w:r>
      <w:r w:rsidR="00F812EC">
        <w:rPr>
          <w:rFonts w:ascii="Minion Pro" w:hAnsi="Minion Pro"/>
          <w:color w:val="17365D" w:themeColor="text2" w:themeShade="BF"/>
        </w:rPr>
        <w:t xml:space="preserve">Bíráló </w:t>
      </w:r>
      <w:r w:rsidRPr="00125421">
        <w:rPr>
          <w:rFonts w:ascii="Minion Pro" w:hAnsi="Minion Pro"/>
          <w:color w:val="17365D" w:themeColor="text2" w:themeShade="BF"/>
        </w:rPr>
        <w:t xml:space="preserve">Bizottság végzi a pályázatok benyújtási </w:t>
      </w:r>
      <w:proofErr w:type="spellStart"/>
      <w:r w:rsidRPr="00125421">
        <w:rPr>
          <w:rFonts w:ascii="Minion Pro" w:hAnsi="Minion Pro"/>
          <w:color w:val="17365D" w:themeColor="text2" w:themeShade="BF"/>
        </w:rPr>
        <w:t>határidejének</w:t>
      </w:r>
      <w:proofErr w:type="spellEnd"/>
      <w:r w:rsidRPr="00125421">
        <w:rPr>
          <w:rFonts w:ascii="Minion Pro" w:hAnsi="Minion Pro"/>
          <w:color w:val="17365D" w:themeColor="text2" w:themeShade="BF"/>
        </w:rPr>
        <w:t xml:space="preserve"> lejártát követő legkésőbb </w:t>
      </w:r>
      <w:r w:rsidR="0068466A">
        <w:rPr>
          <w:rFonts w:ascii="Minion Pro" w:hAnsi="Minion Pro"/>
          <w:color w:val="17365D" w:themeColor="text2" w:themeShade="BF"/>
        </w:rPr>
        <w:t>30</w:t>
      </w:r>
      <w:r w:rsidRPr="00125421">
        <w:rPr>
          <w:rFonts w:ascii="Minion Pro" w:hAnsi="Minion Pro"/>
          <w:color w:val="17365D" w:themeColor="text2" w:themeShade="BF"/>
        </w:rPr>
        <w:t xml:space="preserve"> napon belül. </w:t>
      </w:r>
    </w:p>
    <w:p w14:paraId="7D0FD67F" w14:textId="77777777" w:rsidR="00974E11" w:rsidRPr="00125421" w:rsidRDefault="00974E11" w:rsidP="005B55C5">
      <w:pPr>
        <w:pBdr>
          <w:bottom w:val="single" w:sz="4" w:space="1" w:color="17365D" w:themeColor="text2" w:themeShade="BF"/>
        </w:pBd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6. ÉRTESÍTÉS A PÁLYÁZATI DÖNTÉSRŐL</w:t>
      </w:r>
    </w:p>
    <w:p w14:paraId="63A4C9C9" w14:textId="0D58AF98" w:rsidR="00974E11" w:rsidRDefault="00974E11" w:rsidP="00905C27">
      <w:pPr>
        <w:spacing w:after="240"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 xml:space="preserve">A Bíráló Bizottság döntéséről az ösztöndíj-alapot kezelő, a </w:t>
      </w:r>
      <w:r w:rsidR="00D23A17">
        <w:rPr>
          <w:rFonts w:ascii="Minion Pro" w:hAnsi="Minion Pro"/>
          <w:color w:val="17365D" w:themeColor="text2" w:themeShade="BF"/>
        </w:rPr>
        <w:t xml:space="preserve">Debreceni Egyetem </w:t>
      </w:r>
      <w:r w:rsidRPr="00125421">
        <w:rPr>
          <w:rFonts w:ascii="Minion Pro" w:hAnsi="Minion Pro"/>
          <w:color w:val="17365D" w:themeColor="text2" w:themeShade="BF"/>
        </w:rPr>
        <w:t xml:space="preserve">tulajdonában álló </w:t>
      </w:r>
      <w:proofErr w:type="spellStart"/>
      <w:r w:rsidRPr="00125421">
        <w:rPr>
          <w:rFonts w:ascii="Minion Pro" w:hAnsi="Minion Pro"/>
          <w:color w:val="17365D" w:themeColor="text2" w:themeShade="BF"/>
        </w:rPr>
        <w:t>Merkating</w:t>
      </w:r>
      <w:proofErr w:type="spellEnd"/>
      <w:r w:rsidRPr="00125421">
        <w:rPr>
          <w:rFonts w:ascii="Minion Pro" w:hAnsi="Minion Pro"/>
          <w:color w:val="17365D" w:themeColor="text2" w:themeShade="BF"/>
        </w:rPr>
        <w:t xml:space="preserve"> Nonprofit Kft. értesíti a pályázókat elektronikus úton.</w:t>
      </w:r>
    </w:p>
    <w:p w14:paraId="43DE0367" w14:textId="2C77635B" w:rsidR="00974E11" w:rsidRPr="00125421" w:rsidRDefault="00974E11" w:rsidP="005B55C5">
      <w:pPr>
        <w:pBdr>
          <w:bottom w:val="single" w:sz="4" w:space="1" w:color="17365D" w:themeColor="text2" w:themeShade="BF"/>
        </w:pBd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7. AZ ÖSZTÖNDÍJ</w:t>
      </w:r>
      <w:r w:rsidR="00797822">
        <w:rPr>
          <w:rFonts w:ascii="Minion Pro" w:hAnsi="Minion Pro"/>
          <w:color w:val="17365D" w:themeColor="text2" w:themeShade="BF"/>
        </w:rPr>
        <w:t xml:space="preserve"> MEGHATÁROZÁSÁNAK SZEMPONTJAI</w:t>
      </w:r>
    </w:p>
    <w:p w14:paraId="37356906" w14:textId="456AB61D" w:rsidR="00974E11" w:rsidRPr="00125421" w:rsidRDefault="00974E11" w:rsidP="005B55C5">
      <w:pP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Az ösztöndíj-folyósítás feltétele, hogy a támogatott pályázó hallgatói jogviszonya a</w:t>
      </w:r>
      <w:r w:rsidR="00C2242B">
        <w:rPr>
          <w:rFonts w:ascii="Minion Pro" w:hAnsi="Minion Pro"/>
          <w:color w:val="17365D" w:themeColor="text2" w:themeShade="BF"/>
        </w:rPr>
        <w:t xml:space="preserve">z </w:t>
      </w:r>
      <w:r w:rsidR="00C2242B" w:rsidRPr="009342F7">
        <w:rPr>
          <w:rFonts w:ascii="Minion Pro" w:hAnsi="Minion Pro"/>
          <w:color w:val="17365D" w:themeColor="text2" w:themeShade="BF"/>
        </w:rPr>
        <w:t>aktuális</w:t>
      </w:r>
      <w:r w:rsidRPr="009342F7">
        <w:rPr>
          <w:rFonts w:ascii="Minion Pro" w:hAnsi="Minion Pro"/>
          <w:color w:val="17365D" w:themeColor="text2" w:themeShade="BF"/>
        </w:rPr>
        <w:t xml:space="preserve"> tanév </w:t>
      </w:r>
      <w:r w:rsidR="00C2242B" w:rsidRPr="009342F7">
        <w:rPr>
          <w:rFonts w:ascii="Minion Pro" w:hAnsi="Minion Pro"/>
          <w:color w:val="17365D" w:themeColor="text2" w:themeShade="BF"/>
        </w:rPr>
        <w:t>aktuális</w:t>
      </w:r>
      <w:r w:rsidRPr="009342F7">
        <w:rPr>
          <w:rFonts w:ascii="Minion Pro" w:hAnsi="Minion Pro"/>
          <w:color w:val="17365D" w:themeColor="text2" w:themeShade="BF"/>
        </w:rPr>
        <w:t xml:space="preserve"> félévének teljes időtartamában megfeleljen a pályázati ki</w:t>
      </w:r>
      <w:r w:rsidRPr="00125421">
        <w:rPr>
          <w:rFonts w:ascii="Minion Pro" w:hAnsi="Minion Pro"/>
          <w:color w:val="17365D" w:themeColor="text2" w:themeShade="BF"/>
        </w:rPr>
        <w:t>írásnak. Amennyiben a támogatott pályázó hallgatói jogviszonya nem felel meg a pályázati kiírásnak, a támogatott az ösztöndíjra való jogosultságát az adott félévben elveszíti.</w:t>
      </w:r>
    </w:p>
    <w:p w14:paraId="170AE685" w14:textId="77777777" w:rsidR="00974E11" w:rsidRPr="00125421" w:rsidRDefault="00974E11" w:rsidP="005B55C5">
      <w:pP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lastRenderedPageBreak/>
        <w:t xml:space="preserve">Az ösztöndíj folyósítása </w:t>
      </w:r>
      <w:r w:rsidRPr="009342F7">
        <w:rPr>
          <w:rFonts w:ascii="Minion Pro" w:hAnsi="Minion Pro"/>
          <w:color w:val="17365D" w:themeColor="text2" w:themeShade="BF"/>
        </w:rPr>
        <w:t>aktív hallgatói jogviszonyhoz kötött.</w:t>
      </w:r>
    </w:p>
    <w:p w14:paraId="183A3FE8" w14:textId="3B3C92F7" w:rsidR="00974E11" w:rsidRDefault="00974E11" w:rsidP="005B55C5">
      <w:pP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 xml:space="preserve">A </w:t>
      </w:r>
      <w:r w:rsidRPr="007813B0">
        <w:rPr>
          <w:rFonts w:ascii="Minion Pro" w:hAnsi="Minion Pro"/>
          <w:color w:val="17365D" w:themeColor="text2" w:themeShade="BF"/>
        </w:rPr>
        <w:t>2015/2016.</w:t>
      </w:r>
      <w:r w:rsidR="00FC563B">
        <w:rPr>
          <w:rFonts w:ascii="Minion Pro" w:hAnsi="Minion Pro"/>
          <w:color w:val="17365D" w:themeColor="text2" w:themeShade="BF"/>
        </w:rPr>
        <w:t xml:space="preserve"> </w:t>
      </w:r>
      <w:r w:rsidRPr="00125421">
        <w:rPr>
          <w:rFonts w:ascii="Minion Pro" w:hAnsi="Minion Pro"/>
          <w:color w:val="17365D" w:themeColor="text2" w:themeShade="BF"/>
        </w:rPr>
        <w:t xml:space="preserve"> tanév tavaszi szemeszterében bevezetésre került a kari (kar nélküli intézményeknél intézményi) tanulmányi átlaghoz kötött, </w:t>
      </w:r>
      <w:r w:rsidRPr="009342F7">
        <w:rPr>
          <w:rFonts w:ascii="Minion Pro" w:hAnsi="Minion Pro"/>
          <w:b/>
          <w:color w:val="17365D" w:themeColor="text2" w:themeShade="BF"/>
        </w:rPr>
        <w:t>sávos ösztöndíj</w:t>
      </w:r>
      <w:r w:rsidRPr="00125421">
        <w:rPr>
          <w:rFonts w:ascii="Minion Pro" w:hAnsi="Minion Pro"/>
          <w:color w:val="17365D" w:themeColor="text2" w:themeShade="BF"/>
        </w:rPr>
        <w:t>. Figyelembe véve a pályázók eltérő tanulmányait és az azokból fakadó különbségeket</w:t>
      </w:r>
      <w:r w:rsidR="00F812EC">
        <w:rPr>
          <w:rFonts w:ascii="Minion Pro" w:hAnsi="Minion Pro"/>
          <w:color w:val="17365D" w:themeColor="text2" w:themeShade="BF"/>
        </w:rPr>
        <w:t>,</w:t>
      </w:r>
      <w:r w:rsidRPr="00125421">
        <w:rPr>
          <w:rFonts w:ascii="Minion Pro" w:hAnsi="Minion Pro"/>
          <w:color w:val="17365D" w:themeColor="text2" w:themeShade="BF"/>
        </w:rPr>
        <w:t xml:space="preserve"> az </w:t>
      </w:r>
      <w:r w:rsidR="00D964AA">
        <w:rPr>
          <w:rFonts w:ascii="Minion Pro" w:hAnsi="Minion Pro"/>
          <w:color w:val="17365D" w:themeColor="text2" w:themeShade="BF"/>
        </w:rPr>
        <w:t xml:space="preserve">ösztöndíj az </w:t>
      </w:r>
      <w:r w:rsidRPr="00125421">
        <w:rPr>
          <w:rFonts w:ascii="Minion Pro" w:hAnsi="Minion Pro"/>
          <w:color w:val="17365D" w:themeColor="text2" w:themeShade="BF"/>
        </w:rPr>
        <w:t>alábbi sávok</w:t>
      </w:r>
      <w:r w:rsidR="00D964AA">
        <w:rPr>
          <w:rFonts w:ascii="Minion Pro" w:hAnsi="Minion Pro"/>
          <w:color w:val="17365D" w:themeColor="text2" w:themeShade="BF"/>
        </w:rPr>
        <w:t>nak megfelelően kerül megállapításra</w:t>
      </w:r>
      <w:r w:rsidRPr="00125421">
        <w:rPr>
          <w:rFonts w:ascii="Minion Pro" w:hAnsi="Minion Pro"/>
          <w:color w:val="17365D" w:themeColor="text2" w:themeShade="BF"/>
        </w:rPr>
        <w:t>:</w:t>
      </w:r>
    </w:p>
    <w:p w14:paraId="7C81E561" w14:textId="31668D78" w:rsidR="009342F7" w:rsidRDefault="009342F7" w:rsidP="00471D52">
      <w:pPr>
        <w:numPr>
          <w:ilvl w:val="0"/>
          <w:numId w:val="1"/>
        </w:numPr>
        <w:spacing w:after="120" w:line="360" w:lineRule="auto"/>
        <w:jc w:val="both"/>
        <w:rPr>
          <w:rFonts w:ascii="Minion Pro" w:hAnsi="Minion Pro"/>
          <w:color w:val="17365D" w:themeColor="text2" w:themeShade="BF"/>
        </w:rPr>
      </w:pPr>
      <w:bookmarkStart w:id="0" w:name="_Hlk536711386"/>
      <w:r>
        <w:rPr>
          <w:rFonts w:ascii="Minion Pro" w:hAnsi="Minion Pro"/>
          <w:color w:val="17365D" w:themeColor="text2" w:themeShade="BF"/>
        </w:rPr>
        <w:t>a</w:t>
      </w:r>
      <w:r w:rsidRPr="009342F7">
        <w:rPr>
          <w:rFonts w:ascii="Minion Pro" w:hAnsi="Minion Pro"/>
          <w:color w:val="17365D" w:themeColor="text2" w:themeShade="BF"/>
        </w:rPr>
        <w:t xml:space="preserve"> pályázatok elbírálása során a 3,00-ás átlag alattiak is elnyerhetik az ösztöndíjat abban az esetben, ha valamely területen igazoltan kiemelkedő teljesítményt nyújtanak (pl.: TDK eredmény)</w:t>
      </w:r>
      <w:r>
        <w:rPr>
          <w:rFonts w:ascii="Minion Pro" w:hAnsi="Minion Pro"/>
          <w:color w:val="17365D" w:themeColor="text2" w:themeShade="BF"/>
        </w:rPr>
        <w:t>;</w:t>
      </w:r>
    </w:p>
    <w:p w14:paraId="76EE65C7" w14:textId="59390BAE" w:rsidR="0026331C" w:rsidRDefault="0026331C" w:rsidP="00471D52">
      <w:pPr>
        <w:numPr>
          <w:ilvl w:val="0"/>
          <w:numId w:val="1"/>
        </w:numPr>
        <w:spacing w:after="120" w:line="360" w:lineRule="auto"/>
        <w:jc w:val="both"/>
        <w:rPr>
          <w:rFonts w:ascii="Minion Pro" w:hAnsi="Minion Pro"/>
          <w:color w:val="17365D" w:themeColor="text2" w:themeShade="BF"/>
        </w:rPr>
      </w:pPr>
      <w:r>
        <w:rPr>
          <w:rFonts w:ascii="Minion Pro" w:hAnsi="Minion Pro"/>
          <w:color w:val="17365D" w:themeColor="text2" w:themeShade="BF"/>
        </w:rPr>
        <w:t xml:space="preserve">amennyiben nem áll rendelkezésre </w:t>
      </w:r>
      <w:r w:rsidRPr="00125421">
        <w:rPr>
          <w:rFonts w:ascii="Minion Pro" w:hAnsi="Minion Pro"/>
          <w:color w:val="17365D" w:themeColor="text2" w:themeShade="BF"/>
        </w:rPr>
        <w:t>saját kari/intézményi átlag</w:t>
      </w:r>
      <w:r>
        <w:rPr>
          <w:rFonts w:ascii="Minion Pro" w:hAnsi="Minion Pro"/>
          <w:color w:val="17365D" w:themeColor="text2" w:themeShade="BF"/>
        </w:rPr>
        <w:t xml:space="preserve"> és a pályázó t</w:t>
      </w:r>
      <w:r w:rsidRPr="00125421">
        <w:rPr>
          <w:rFonts w:ascii="Minion Pro" w:hAnsi="Minion Pro"/>
          <w:color w:val="17365D" w:themeColor="text2" w:themeShade="BF"/>
        </w:rPr>
        <w:t>anulmányi átlag</w:t>
      </w:r>
      <w:r>
        <w:rPr>
          <w:rFonts w:ascii="Minion Pro" w:hAnsi="Minion Pro"/>
          <w:color w:val="17365D" w:themeColor="text2" w:themeShade="BF"/>
        </w:rPr>
        <w:t>a</w:t>
      </w:r>
      <w:r w:rsidRPr="00125421">
        <w:rPr>
          <w:rFonts w:ascii="Minion Pro" w:hAnsi="Minion Pro"/>
          <w:color w:val="17365D" w:themeColor="text2" w:themeShade="BF"/>
        </w:rPr>
        <w:t xml:space="preserve"> </w:t>
      </w:r>
      <w:r>
        <w:rPr>
          <w:rFonts w:ascii="Minion Pro" w:hAnsi="Minion Pro"/>
          <w:color w:val="17365D" w:themeColor="text2" w:themeShade="BF"/>
        </w:rPr>
        <w:t xml:space="preserve">3,00 - </w:t>
      </w:r>
      <w:r w:rsidRPr="00125421">
        <w:rPr>
          <w:rFonts w:ascii="Minion Pro" w:hAnsi="Minion Pro"/>
          <w:color w:val="17365D" w:themeColor="text2" w:themeShade="BF"/>
        </w:rPr>
        <w:t xml:space="preserve">4,0-es </w:t>
      </w:r>
      <w:r>
        <w:rPr>
          <w:rFonts w:ascii="Minion Pro" w:hAnsi="Minion Pro"/>
          <w:color w:val="17365D" w:themeColor="text2" w:themeShade="BF"/>
        </w:rPr>
        <w:t xml:space="preserve">között van, </w:t>
      </w:r>
      <w:r w:rsidRPr="00125421">
        <w:rPr>
          <w:rFonts w:ascii="Minion Pro" w:hAnsi="Minion Pro"/>
          <w:color w:val="17365D" w:themeColor="text2" w:themeShade="BF"/>
        </w:rPr>
        <w:t xml:space="preserve">havi </w:t>
      </w:r>
      <w:r>
        <w:rPr>
          <w:rFonts w:ascii="Minion Pro" w:hAnsi="Minion Pro"/>
          <w:color w:val="17365D" w:themeColor="text2" w:themeShade="BF"/>
        </w:rPr>
        <w:t>35</w:t>
      </w:r>
      <w:r w:rsidRPr="00125421">
        <w:rPr>
          <w:rFonts w:ascii="Minion Pro" w:hAnsi="Minion Pro"/>
          <w:color w:val="17365D" w:themeColor="text2" w:themeShade="BF"/>
        </w:rPr>
        <w:t> 000 Ft kerül folyósításra</w:t>
      </w:r>
      <w:r>
        <w:rPr>
          <w:rFonts w:ascii="Minion Pro" w:hAnsi="Minion Pro"/>
          <w:color w:val="17365D" w:themeColor="text2" w:themeShade="BF"/>
        </w:rPr>
        <w:t>;</w:t>
      </w:r>
    </w:p>
    <w:p w14:paraId="0DB2549E" w14:textId="5D2BDDF2" w:rsidR="00974E11" w:rsidRPr="00125421" w:rsidRDefault="00974E11" w:rsidP="00471D52">
      <w:pPr>
        <w:numPr>
          <w:ilvl w:val="0"/>
          <w:numId w:val="1"/>
        </w:numPr>
        <w:spacing w:after="120" w:line="360" w:lineRule="auto"/>
        <w:jc w:val="both"/>
        <w:rPr>
          <w:rFonts w:ascii="Minion Pro" w:hAnsi="Minion Pro"/>
          <w:color w:val="17365D" w:themeColor="text2" w:themeShade="BF"/>
        </w:rPr>
      </w:pPr>
      <w:bookmarkStart w:id="1" w:name="_Hlk536711887"/>
      <w:r w:rsidRPr="00125421">
        <w:rPr>
          <w:rFonts w:ascii="Minion Pro" w:hAnsi="Minion Pro"/>
          <w:color w:val="17365D" w:themeColor="text2" w:themeShade="BF"/>
        </w:rPr>
        <w:t xml:space="preserve">saját kari/intézményi átlagtól való +10%-os tanulmányi </w:t>
      </w:r>
      <w:proofErr w:type="spellStart"/>
      <w:r w:rsidRPr="00125421">
        <w:rPr>
          <w:rFonts w:ascii="Minion Pro" w:hAnsi="Minion Pro"/>
          <w:color w:val="17365D" w:themeColor="text2" w:themeShade="BF"/>
        </w:rPr>
        <w:t>átlagbeli</w:t>
      </w:r>
      <w:proofErr w:type="spellEnd"/>
      <w:r w:rsidRPr="00125421">
        <w:rPr>
          <w:rFonts w:ascii="Minion Pro" w:hAnsi="Minion Pro"/>
          <w:color w:val="17365D" w:themeColor="text2" w:themeShade="BF"/>
        </w:rPr>
        <w:t xml:space="preserve"> eltérés vagy 4,0-es tanulmányi átlag esetén havi 40 000 Ft kerül folyósításra</w:t>
      </w:r>
      <w:bookmarkEnd w:id="1"/>
      <w:r w:rsidRPr="00125421">
        <w:rPr>
          <w:rFonts w:ascii="Minion Pro" w:hAnsi="Minion Pro"/>
          <w:color w:val="17365D" w:themeColor="text2" w:themeShade="BF"/>
        </w:rPr>
        <w:t xml:space="preserve">; </w:t>
      </w:r>
    </w:p>
    <w:bookmarkEnd w:id="0"/>
    <w:p w14:paraId="0D64E0C2" w14:textId="77777777" w:rsidR="00974E11" w:rsidRPr="00125421" w:rsidRDefault="00974E11" w:rsidP="00471D52">
      <w:pPr>
        <w:numPr>
          <w:ilvl w:val="0"/>
          <w:numId w:val="1"/>
        </w:numPr>
        <w:spacing w:after="120"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 xml:space="preserve">saját kari/intézményi átlagtól való +20%-os tanulmányi </w:t>
      </w:r>
      <w:proofErr w:type="spellStart"/>
      <w:r w:rsidRPr="00125421">
        <w:rPr>
          <w:rFonts w:ascii="Minion Pro" w:hAnsi="Minion Pro"/>
          <w:color w:val="17365D" w:themeColor="text2" w:themeShade="BF"/>
        </w:rPr>
        <w:t>átlagbeli</w:t>
      </w:r>
      <w:proofErr w:type="spellEnd"/>
      <w:r w:rsidRPr="00125421">
        <w:rPr>
          <w:rFonts w:ascii="Minion Pro" w:hAnsi="Minion Pro"/>
          <w:color w:val="17365D" w:themeColor="text2" w:themeShade="BF"/>
        </w:rPr>
        <w:t xml:space="preserve"> eltérés vagy 4,5-es tanulmányi átlag esetén havi 45 000 Ft kerül folyósításra; </w:t>
      </w:r>
    </w:p>
    <w:p w14:paraId="720F1E28" w14:textId="77777777" w:rsidR="00974E11" w:rsidRDefault="00974E11" w:rsidP="00471D52">
      <w:pPr>
        <w:numPr>
          <w:ilvl w:val="0"/>
          <w:numId w:val="1"/>
        </w:numPr>
        <w:spacing w:after="120"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 xml:space="preserve">saját kari/intézményi átlagtól való +30%-os tanulmányi </w:t>
      </w:r>
      <w:proofErr w:type="spellStart"/>
      <w:r w:rsidRPr="00125421">
        <w:rPr>
          <w:rFonts w:ascii="Minion Pro" w:hAnsi="Minion Pro"/>
          <w:color w:val="17365D" w:themeColor="text2" w:themeShade="BF"/>
        </w:rPr>
        <w:t>átlagbeli</w:t>
      </w:r>
      <w:proofErr w:type="spellEnd"/>
      <w:r w:rsidRPr="00125421">
        <w:rPr>
          <w:rFonts w:ascii="Minion Pro" w:hAnsi="Minion Pro"/>
          <w:color w:val="17365D" w:themeColor="text2" w:themeShade="BF"/>
        </w:rPr>
        <w:t xml:space="preserve"> eltérés vagy 4,75-es tanulmányi átlag esetén ha</w:t>
      </w:r>
      <w:r>
        <w:rPr>
          <w:rFonts w:ascii="Minion Pro" w:hAnsi="Minion Pro"/>
          <w:color w:val="17365D" w:themeColor="text2" w:themeShade="BF"/>
        </w:rPr>
        <w:t xml:space="preserve">vi 50 000 Ft kerül folyósításra. </w:t>
      </w:r>
    </w:p>
    <w:p w14:paraId="4904E0C3" w14:textId="2D325F21" w:rsidR="00974E11" w:rsidRPr="00125421" w:rsidRDefault="009342F7" w:rsidP="009342F7">
      <w:pPr>
        <w:numPr>
          <w:ilvl w:val="0"/>
          <w:numId w:val="1"/>
        </w:numP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>
        <w:rPr>
          <w:rFonts w:ascii="Minion Pro" w:hAnsi="Minion Pro"/>
          <w:color w:val="17365D" w:themeColor="text2" w:themeShade="BF"/>
        </w:rPr>
        <w:t>a d</w:t>
      </w:r>
      <w:r w:rsidR="00974E11">
        <w:rPr>
          <w:rFonts w:ascii="Minion Pro" w:hAnsi="Minion Pro"/>
          <w:color w:val="17365D" w:themeColor="text2" w:themeShade="BF"/>
        </w:rPr>
        <w:t xml:space="preserve">oktori képzésben résztvevők számára </w:t>
      </w:r>
      <w:r w:rsidR="00D964AA">
        <w:rPr>
          <w:rFonts w:ascii="Minion Pro" w:hAnsi="Minion Pro"/>
          <w:color w:val="17365D" w:themeColor="text2" w:themeShade="BF"/>
        </w:rPr>
        <w:t xml:space="preserve">az </w:t>
      </w:r>
      <w:r w:rsidR="00974E11">
        <w:rPr>
          <w:rFonts w:ascii="Minion Pro" w:hAnsi="Minion Pro"/>
          <w:color w:val="17365D" w:themeColor="text2" w:themeShade="BF"/>
        </w:rPr>
        <w:t xml:space="preserve">ösztöndíjrendszer </w:t>
      </w:r>
      <w:r w:rsidR="00D964AA">
        <w:rPr>
          <w:rFonts w:ascii="Minion Pro" w:hAnsi="Minion Pro"/>
          <w:color w:val="17365D" w:themeColor="text2" w:themeShade="BF"/>
        </w:rPr>
        <w:t>egységes</w:t>
      </w:r>
      <w:r w:rsidR="00974E11">
        <w:rPr>
          <w:rFonts w:ascii="Minion Pro" w:hAnsi="Minion Pro"/>
          <w:color w:val="17365D" w:themeColor="text2" w:themeShade="BF"/>
        </w:rPr>
        <w:t xml:space="preserve">, így az adott doktori iskola által meghatározott, aktív hallgatói jogviszonyhoz szükséges feltételek teljesítést követően havi </w:t>
      </w:r>
      <w:r w:rsidR="00D75453">
        <w:rPr>
          <w:rFonts w:ascii="Minion Pro" w:hAnsi="Minion Pro"/>
          <w:color w:val="17365D" w:themeColor="text2" w:themeShade="BF"/>
        </w:rPr>
        <w:t>10</w:t>
      </w:r>
      <w:r w:rsidR="00974E11">
        <w:rPr>
          <w:rFonts w:ascii="Minion Pro" w:hAnsi="Minion Pro"/>
          <w:color w:val="17365D" w:themeColor="text2" w:themeShade="BF"/>
        </w:rPr>
        <w:t xml:space="preserve">0 000 Ft kerül folyósításra. </w:t>
      </w:r>
    </w:p>
    <w:p w14:paraId="007A06CD" w14:textId="77777777" w:rsidR="00F318DB" w:rsidRDefault="00F318DB" w:rsidP="00F318DB">
      <w:pPr>
        <w:spacing w:after="120" w:line="360" w:lineRule="auto"/>
        <w:jc w:val="both"/>
        <w:rPr>
          <w:rFonts w:ascii="Minion Pro" w:hAnsi="Minion Pro"/>
          <w:b/>
          <w:color w:val="17365D" w:themeColor="text2" w:themeShade="BF"/>
        </w:rPr>
      </w:pPr>
      <w:bookmarkStart w:id="2" w:name="_Hlk531032865"/>
      <w:r w:rsidRPr="00F318DB">
        <w:rPr>
          <w:rFonts w:ascii="Minion Pro" w:hAnsi="Minion Pro"/>
          <w:b/>
          <w:color w:val="17365D" w:themeColor="text2" w:themeShade="BF"/>
        </w:rPr>
        <w:t>A Bíráló Bizottság fenntartja magának a jogot, hogy a fentiekben meghatározott feltételektől egyedi mérlegelés alapján, indoklási kötelezettség nélkül eltérjen.</w:t>
      </w:r>
    </w:p>
    <w:p w14:paraId="420A6D53" w14:textId="75F54310" w:rsidR="00471D52" w:rsidRDefault="00974E11" w:rsidP="00471D52">
      <w:pPr>
        <w:spacing w:after="240"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 xml:space="preserve">Az ösztöndíj </w:t>
      </w:r>
      <w:r w:rsidRPr="009342F7">
        <w:rPr>
          <w:rFonts w:ascii="Minion Pro" w:hAnsi="Minion Pro"/>
          <w:b/>
          <w:color w:val="17365D" w:themeColor="text2" w:themeShade="BF"/>
        </w:rPr>
        <w:t>folyósításának további feltétele</w:t>
      </w:r>
      <w:r w:rsidRPr="00125421">
        <w:rPr>
          <w:rFonts w:ascii="Minion Pro" w:hAnsi="Minion Pro"/>
          <w:color w:val="17365D" w:themeColor="text2" w:themeShade="BF"/>
        </w:rPr>
        <w:t xml:space="preserve">, hogy a pályázó </w:t>
      </w:r>
      <w:proofErr w:type="spellStart"/>
      <w:r w:rsidRPr="00125421">
        <w:rPr>
          <w:rFonts w:ascii="Minion Pro" w:hAnsi="Minion Pro"/>
          <w:color w:val="17365D" w:themeColor="text2" w:themeShade="BF"/>
        </w:rPr>
        <w:t>félévente</w:t>
      </w:r>
      <w:proofErr w:type="spellEnd"/>
      <w:r w:rsidRPr="00125421">
        <w:rPr>
          <w:rFonts w:ascii="Minion Pro" w:hAnsi="Minion Pro"/>
          <w:color w:val="17365D" w:themeColor="text2" w:themeShade="BF"/>
        </w:rPr>
        <w:t xml:space="preserve"> </w:t>
      </w:r>
      <w:r w:rsidR="008D0FC2">
        <w:rPr>
          <w:rFonts w:ascii="Minion Pro" w:hAnsi="Minion Pro"/>
          <w:color w:val="17365D" w:themeColor="text2" w:themeShade="BF"/>
        </w:rPr>
        <w:t>kétszer</w:t>
      </w:r>
      <w:r w:rsidRPr="00125421">
        <w:rPr>
          <w:rFonts w:ascii="Minion Pro" w:hAnsi="Minion Pro"/>
          <w:color w:val="17365D" w:themeColor="text2" w:themeShade="BF"/>
        </w:rPr>
        <w:t xml:space="preserve">, a </w:t>
      </w:r>
      <w:proofErr w:type="spellStart"/>
      <w:r w:rsidRPr="009342F7">
        <w:rPr>
          <w:rFonts w:ascii="Minion Pro" w:hAnsi="Minion Pro"/>
          <w:color w:val="17365D" w:themeColor="text2" w:themeShade="BF"/>
        </w:rPr>
        <w:t>Pallas</w:t>
      </w:r>
      <w:proofErr w:type="spellEnd"/>
      <w:r w:rsidRPr="009342F7">
        <w:rPr>
          <w:rFonts w:ascii="Minion Pro" w:hAnsi="Minion Pro"/>
          <w:color w:val="17365D" w:themeColor="text2" w:themeShade="BF"/>
        </w:rPr>
        <w:t xml:space="preserve"> Athéné Domus </w:t>
      </w:r>
      <w:proofErr w:type="spellStart"/>
      <w:r w:rsidR="00C766CF">
        <w:rPr>
          <w:rFonts w:ascii="Minion Pro" w:hAnsi="Minion Pro"/>
          <w:color w:val="17365D" w:themeColor="text2" w:themeShade="BF"/>
        </w:rPr>
        <w:t>Meriti</w:t>
      </w:r>
      <w:proofErr w:type="spellEnd"/>
      <w:r w:rsidR="00C766CF">
        <w:rPr>
          <w:rFonts w:ascii="Minion Pro" w:hAnsi="Minion Pro"/>
          <w:color w:val="17365D" w:themeColor="text2" w:themeShade="BF"/>
        </w:rPr>
        <w:t xml:space="preserve"> </w:t>
      </w:r>
      <w:r w:rsidRPr="00125421">
        <w:rPr>
          <w:rFonts w:ascii="Minion Pro" w:hAnsi="Minion Pro"/>
          <w:color w:val="17365D" w:themeColor="text2" w:themeShade="BF"/>
        </w:rPr>
        <w:t xml:space="preserve">Alapítvány támogatásával tartott </w:t>
      </w:r>
      <w:r w:rsidRPr="009342F7">
        <w:rPr>
          <w:rFonts w:ascii="Minion Pro" w:hAnsi="Minion Pro"/>
          <w:b/>
          <w:color w:val="17365D" w:themeColor="text2" w:themeShade="BF"/>
        </w:rPr>
        <w:t>előadási napon részt ve</w:t>
      </w:r>
      <w:r w:rsidR="00D964AA" w:rsidRPr="009342F7">
        <w:rPr>
          <w:rFonts w:ascii="Minion Pro" w:hAnsi="Minion Pro"/>
          <w:b/>
          <w:color w:val="17365D" w:themeColor="text2" w:themeShade="BF"/>
        </w:rPr>
        <w:t>gyen</w:t>
      </w:r>
      <w:r w:rsidRPr="00125421">
        <w:rPr>
          <w:rFonts w:ascii="Minion Pro" w:hAnsi="Minion Pro"/>
          <w:color w:val="17365D" w:themeColor="text2" w:themeShade="BF"/>
        </w:rPr>
        <w:t>. A</w:t>
      </w:r>
      <w:r w:rsidR="00026E70">
        <w:rPr>
          <w:rFonts w:ascii="Minion Pro" w:hAnsi="Minion Pro"/>
          <w:color w:val="17365D" w:themeColor="text2" w:themeShade="BF"/>
        </w:rPr>
        <w:t xml:space="preserve"> kiküldött adatközlők, kérdőívek, feladatok határidőre történő visszaküldése és teljeskörű </w:t>
      </w:r>
      <w:r w:rsidRPr="00125421">
        <w:rPr>
          <w:rFonts w:ascii="Minion Pro" w:hAnsi="Minion Pro"/>
          <w:color w:val="17365D" w:themeColor="text2" w:themeShade="BF"/>
        </w:rPr>
        <w:t xml:space="preserve">előadási napon való részvétel a következő félévi ösztöndíj-folyósítás feltételét képezi. </w:t>
      </w:r>
      <w:r w:rsidR="00471D52">
        <w:rPr>
          <w:rFonts w:ascii="Minion Pro" w:hAnsi="Minion Pro"/>
          <w:color w:val="17365D" w:themeColor="text2" w:themeShade="BF"/>
        </w:rPr>
        <w:t xml:space="preserve">Kérjük a </w:t>
      </w:r>
      <w:proofErr w:type="spellStart"/>
      <w:r w:rsidR="00471D52">
        <w:rPr>
          <w:rFonts w:ascii="Minion Pro" w:hAnsi="Minion Pro"/>
          <w:color w:val="17365D" w:themeColor="text2" w:themeShade="BF"/>
        </w:rPr>
        <w:t>Merkating</w:t>
      </w:r>
      <w:proofErr w:type="spellEnd"/>
      <w:r w:rsidR="00471D52">
        <w:rPr>
          <w:rFonts w:ascii="Minion Pro" w:hAnsi="Minion Pro"/>
          <w:color w:val="17365D" w:themeColor="text2" w:themeShade="BF"/>
        </w:rPr>
        <w:t xml:space="preserve"> N</w:t>
      </w:r>
      <w:r w:rsidR="00761E11">
        <w:rPr>
          <w:rFonts w:ascii="Minion Pro" w:hAnsi="Minion Pro"/>
          <w:color w:val="17365D" w:themeColor="text2" w:themeShade="BF"/>
        </w:rPr>
        <w:t>onprofit</w:t>
      </w:r>
      <w:r w:rsidR="00471D52">
        <w:rPr>
          <w:rFonts w:ascii="Minion Pro" w:hAnsi="Minion Pro"/>
          <w:color w:val="17365D" w:themeColor="text2" w:themeShade="BF"/>
        </w:rPr>
        <w:t xml:space="preserve"> Kft. hivatalos weboldalán kívül állítsák be a Facebook profiljának követését.</w:t>
      </w:r>
    </w:p>
    <w:bookmarkEnd w:id="2"/>
    <w:p w14:paraId="4740C405" w14:textId="77777777" w:rsidR="00974E11" w:rsidRPr="00125421" w:rsidRDefault="00974E11" w:rsidP="005B55C5">
      <w:pPr>
        <w:pBdr>
          <w:bottom w:val="single" w:sz="4" w:space="1" w:color="17365D" w:themeColor="text2" w:themeShade="BF"/>
        </w:pBd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8. AZ ÖSZTÖNDÍJ FOLYÓSÍTÁSA</w:t>
      </w:r>
    </w:p>
    <w:p w14:paraId="1AACCC4F" w14:textId="0A78CDF4" w:rsidR="00974E11" w:rsidRPr="00125421" w:rsidRDefault="00974E11" w:rsidP="005B55C5">
      <w:pP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 xml:space="preserve">Az </w:t>
      </w:r>
      <w:r w:rsidRPr="009342F7">
        <w:rPr>
          <w:rFonts w:ascii="Minion Pro" w:hAnsi="Minion Pro"/>
          <w:b/>
          <w:color w:val="17365D" w:themeColor="text2" w:themeShade="BF"/>
        </w:rPr>
        <w:t xml:space="preserve">ösztöndíj időtartama </w:t>
      </w:r>
      <w:r w:rsidR="00F90A31" w:rsidRPr="009342F7">
        <w:rPr>
          <w:rFonts w:ascii="Minion Pro" w:hAnsi="Minion Pro"/>
          <w:color w:val="17365D" w:themeColor="text2" w:themeShade="BF"/>
        </w:rPr>
        <w:t>aktuális tanév aktuális félév</w:t>
      </w:r>
      <w:r w:rsidR="00F90A31">
        <w:rPr>
          <w:rFonts w:ascii="Minion Pro" w:hAnsi="Minion Pro"/>
          <w:color w:val="17365D" w:themeColor="text2" w:themeShade="BF"/>
        </w:rPr>
        <w:t>ére vonatkozó</w:t>
      </w:r>
      <w:r w:rsidR="00F90A31" w:rsidRPr="009342F7">
        <w:rPr>
          <w:rFonts w:ascii="Minion Pro" w:hAnsi="Minion Pro"/>
          <w:b/>
          <w:color w:val="17365D" w:themeColor="text2" w:themeShade="BF"/>
        </w:rPr>
        <w:t xml:space="preserve"> </w:t>
      </w:r>
      <w:r w:rsidRPr="009342F7">
        <w:rPr>
          <w:rFonts w:ascii="Minion Pro" w:hAnsi="Minion Pro"/>
          <w:b/>
          <w:color w:val="17365D" w:themeColor="text2" w:themeShade="BF"/>
        </w:rPr>
        <w:t>5 hónap</w:t>
      </w:r>
      <w:r w:rsidRPr="00125421">
        <w:rPr>
          <w:rFonts w:ascii="Minion Pro" w:hAnsi="Minion Pro"/>
          <w:color w:val="17365D" w:themeColor="text2" w:themeShade="BF"/>
        </w:rPr>
        <w:t>, azaz egy tanulmányi félév</w:t>
      </w:r>
      <w:r w:rsidR="00F90A31">
        <w:rPr>
          <w:rFonts w:ascii="Minion Pro" w:hAnsi="Minion Pro"/>
          <w:color w:val="17365D" w:themeColor="text2" w:themeShade="BF"/>
        </w:rPr>
        <w:t>.</w:t>
      </w:r>
    </w:p>
    <w:p w14:paraId="0252DC50" w14:textId="7C564EA7" w:rsidR="00974E11" w:rsidRPr="00580479" w:rsidRDefault="00974E11" w:rsidP="0068466A">
      <w:pP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 xml:space="preserve">Az ösztöndíjat a </w:t>
      </w:r>
      <w:proofErr w:type="spellStart"/>
      <w:r w:rsidRPr="00125421">
        <w:rPr>
          <w:rFonts w:ascii="Minion Pro" w:hAnsi="Minion Pro"/>
          <w:color w:val="17365D" w:themeColor="text2" w:themeShade="BF"/>
        </w:rPr>
        <w:t>Merkating</w:t>
      </w:r>
      <w:proofErr w:type="spellEnd"/>
      <w:r w:rsidRPr="00125421">
        <w:rPr>
          <w:rFonts w:ascii="Minion Pro" w:hAnsi="Minion Pro"/>
          <w:color w:val="17365D" w:themeColor="text2" w:themeShade="BF"/>
        </w:rPr>
        <w:t xml:space="preserve"> Nonprofit Kft. folyósítja a hallgatónak.</w:t>
      </w:r>
      <w:r w:rsidR="005E5160">
        <w:rPr>
          <w:rFonts w:ascii="Minion Pro" w:hAnsi="Minion Pro"/>
          <w:color w:val="17365D" w:themeColor="text2" w:themeShade="BF"/>
        </w:rPr>
        <w:t xml:space="preserve"> </w:t>
      </w:r>
      <w:bookmarkStart w:id="3" w:name="_Hlk531032938"/>
      <w:r w:rsidR="00122A47">
        <w:rPr>
          <w:rFonts w:ascii="Minion Pro" w:hAnsi="Minion Pro"/>
          <w:color w:val="17365D" w:themeColor="text2" w:themeShade="BF"/>
        </w:rPr>
        <w:t xml:space="preserve">Az ösztöndíj </w:t>
      </w:r>
      <w:r w:rsidR="00026E70">
        <w:rPr>
          <w:rFonts w:ascii="Minion Pro" w:hAnsi="Minion Pro"/>
          <w:color w:val="17365D" w:themeColor="text2" w:themeShade="BF"/>
        </w:rPr>
        <w:t>a</w:t>
      </w:r>
      <w:r>
        <w:rPr>
          <w:rFonts w:ascii="Minion Pro" w:hAnsi="Minion Pro"/>
          <w:color w:val="17365D" w:themeColor="text2" w:themeShade="BF"/>
        </w:rPr>
        <w:t xml:space="preserve">z adott </w:t>
      </w:r>
      <w:r w:rsidRPr="00580479">
        <w:rPr>
          <w:rFonts w:ascii="Minion Pro" w:hAnsi="Minion Pro"/>
          <w:color w:val="17365D" w:themeColor="text2" w:themeShade="BF"/>
        </w:rPr>
        <w:t xml:space="preserve">félévben </w:t>
      </w:r>
      <w:r w:rsidR="00026E70">
        <w:rPr>
          <w:rFonts w:ascii="Minion Pro" w:hAnsi="Minion Pro"/>
          <w:color w:val="17365D" w:themeColor="text2" w:themeShade="BF"/>
        </w:rPr>
        <w:t xml:space="preserve">havonta a következő hónap </w:t>
      </w:r>
      <w:r w:rsidR="00026E70" w:rsidRPr="00580479">
        <w:rPr>
          <w:rFonts w:ascii="Minion Pro" w:hAnsi="Minion Pro"/>
          <w:color w:val="17365D" w:themeColor="text2" w:themeShade="BF"/>
        </w:rPr>
        <w:t>15. napjáig</w:t>
      </w:r>
      <w:r w:rsidR="00BB2B52">
        <w:rPr>
          <w:rFonts w:ascii="Minion Pro" w:hAnsi="Minion Pro"/>
          <w:color w:val="17365D" w:themeColor="text2" w:themeShade="BF"/>
        </w:rPr>
        <w:t xml:space="preserve"> </w:t>
      </w:r>
      <w:r w:rsidR="00026E70">
        <w:rPr>
          <w:rFonts w:ascii="Minion Pro" w:hAnsi="Minion Pro"/>
          <w:color w:val="17365D" w:themeColor="text2" w:themeShade="BF"/>
        </w:rPr>
        <w:t xml:space="preserve">vagy egyösszegben az utolsó hónap </w:t>
      </w:r>
      <w:r w:rsidR="00026E70" w:rsidRPr="00580479">
        <w:rPr>
          <w:rFonts w:ascii="Minion Pro" w:hAnsi="Minion Pro"/>
          <w:color w:val="17365D" w:themeColor="text2" w:themeShade="BF"/>
        </w:rPr>
        <w:t>15. napjáig</w:t>
      </w:r>
      <w:r w:rsidR="00026E70">
        <w:rPr>
          <w:rFonts w:ascii="Minion Pro" w:hAnsi="Minion Pro"/>
          <w:color w:val="17365D" w:themeColor="text2" w:themeShade="BF"/>
        </w:rPr>
        <w:t xml:space="preserve"> </w:t>
      </w:r>
      <w:r>
        <w:rPr>
          <w:rFonts w:ascii="Minion Pro" w:hAnsi="Minion Pro"/>
          <w:color w:val="17365D" w:themeColor="text2" w:themeShade="BF"/>
        </w:rPr>
        <w:t>kerül</w:t>
      </w:r>
      <w:r w:rsidRPr="007B2869">
        <w:rPr>
          <w:rFonts w:ascii="Minion Pro" w:hAnsi="Minion Pro"/>
          <w:color w:val="17365D" w:themeColor="text2" w:themeShade="BF"/>
        </w:rPr>
        <w:t xml:space="preserve"> </w:t>
      </w:r>
      <w:r w:rsidRPr="00580479">
        <w:rPr>
          <w:rFonts w:ascii="Minion Pro" w:hAnsi="Minion Pro"/>
          <w:color w:val="17365D" w:themeColor="text2" w:themeShade="BF"/>
        </w:rPr>
        <w:lastRenderedPageBreak/>
        <w:t>folyósításra</w:t>
      </w:r>
      <w:r>
        <w:rPr>
          <w:rFonts w:ascii="Minion Pro" w:hAnsi="Minion Pro"/>
          <w:color w:val="17365D" w:themeColor="text2" w:themeShade="BF"/>
        </w:rPr>
        <w:t xml:space="preserve">. </w:t>
      </w:r>
      <w:bookmarkEnd w:id="3"/>
      <w:r w:rsidRPr="00580479">
        <w:rPr>
          <w:rFonts w:ascii="Minion Pro" w:hAnsi="Minion Pro"/>
          <w:color w:val="17365D" w:themeColor="text2" w:themeShade="BF"/>
        </w:rPr>
        <w:t xml:space="preserve">Az elnyert ösztöndíj után a </w:t>
      </w:r>
      <w:r w:rsidR="00346907">
        <w:rPr>
          <w:rFonts w:ascii="Minion Pro" w:hAnsi="Minion Pro"/>
          <w:color w:val="17365D" w:themeColor="text2" w:themeShade="BF"/>
        </w:rPr>
        <w:t>hallgató</w:t>
      </w:r>
      <w:r w:rsidRPr="00580479">
        <w:rPr>
          <w:rFonts w:ascii="Minion Pro" w:hAnsi="Minion Pro"/>
          <w:color w:val="17365D" w:themeColor="text2" w:themeShade="BF"/>
        </w:rPr>
        <w:t>nak közvetlen adó- és tb-járulékfizetési kötelezettsége nem keletkezik.</w:t>
      </w:r>
    </w:p>
    <w:p w14:paraId="3FDA8815" w14:textId="77777777" w:rsidR="00974E11" w:rsidRPr="00125421" w:rsidRDefault="00974E11" w:rsidP="005B55C5">
      <w:pPr>
        <w:pBdr>
          <w:bottom w:val="single" w:sz="4" w:space="1" w:color="17365D" w:themeColor="text2" w:themeShade="BF"/>
        </w:pBd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9. A PÁLYÁZÓK ÉRTESÍTÉSI KÖTELEZETTSÉGEI</w:t>
      </w:r>
    </w:p>
    <w:p w14:paraId="41EA8214" w14:textId="3F9B568D" w:rsidR="00974E11" w:rsidRDefault="00974E11" w:rsidP="005B55C5">
      <w:pPr>
        <w:spacing w:after="0"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Az ösztöndíjban részesülő hallgató köteles az ösztöndíj folyósításának időszaka alatt minden, az ösztöndíj folyósítását érintő változásról haladéktalanul (de legkésőbb 15 napon belül) írásban értesíteni a folyósítót</w:t>
      </w:r>
      <w:r w:rsidR="00D964AA">
        <w:rPr>
          <w:rFonts w:ascii="Minion Pro" w:hAnsi="Minion Pro"/>
          <w:color w:val="17365D" w:themeColor="text2" w:themeShade="BF"/>
        </w:rPr>
        <w:t xml:space="preserve"> az alábbi</w:t>
      </w:r>
      <w:r w:rsidRPr="00125421">
        <w:rPr>
          <w:rFonts w:ascii="Minion Pro" w:hAnsi="Minion Pro"/>
          <w:color w:val="17365D" w:themeColor="text2" w:themeShade="BF"/>
        </w:rPr>
        <w:t xml:space="preserve"> </w:t>
      </w:r>
      <w:r>
        <w:rPr>
          <w:rFonts w:ascii="Minion Pro" w:hAnsi="Minion Pro"/>
          <w:color w:val="17365D" w:themeColor="text2" w:themeShade="BF"/>
        </w:rPr>
        <w:t xml:space="preserve">levelezési </w:t>
      </w:r>
      <w:r w:rsidRPr="00125421">
        <w:rPr>
          <w:rFonts w:ascii="Minion Pro" w:hAnsi="Minion Pro"/>
          <w:color w:val="17365D" w:themeColor="text2" w:themeShade="BF"/>
        </w:rPr>
        <w:t>cím</w:t>
      </w:r>
      <w:r w:rsidR="00D964AA">
        <w:rPr>
          <w:rFonts w:ascii="Minion Pro" w:hAnsi="Minion Pro"/>
          <w:color w:val="17365D" w:themeColor="text2" w:themeShade="BF"/>
        </w:rPr>
        <w:t>en</w:t>
      </w:r>
      <w:r w:rsidRPr="00125421">
        <w:rPr>
          <w:rFonts w:ascii="Minion Pro" w:hAnsi="Minion Pro"/>
          <w:color w:val="17365D" w:themeColor="text2" w:themeShade="BF"/>
        </w:rPr>
        <w:t xml:space="preserve">: </w:t>
      </w:r>
      <w:proofErr w:type="spellStart"/>
      <w:r w:rsidRPr="00125421">
        <w:rPr>
          <w:rFonts w:ascii="Minion Pro" w:hAnsi="Minion Pro"/>
          <w:color w:val="17365D" w:themeColor="text2" w:themeShade="BF"/>
        </w:rPr>
        <w:t>Merkating</w:t>
      </w:r>
      <w:proofErr w:type="spellEnd"/>
      <w:r w:rsidRPr="00125421">
        <w:rPr>
          <w:rFonts w:ascii="Minion Pro" w:hAnsi="Minion Pro"/>
          <w:color w:val="17365D" w:themeColor="text2" w:themeShade="BF"/>
        </w:rPr>
        <w:t xml:space="preserve"> Nonprofit Kft. 5000 Szolnok, Tiszaligeti sétány 14., e-mail: </w:t>
      </w:r>
      <w:r w:rsidR="008D0FC2">
        <w:rPr>
          <w:rFonts w:ascii="Minion Pro" w:hAnsi="Minion Pro"/>
          <w:color w:val="17365D" w:themeColor="text2" w:themeShade="BF"/>
        </w:rPr>
        <w:t>fogyasztovedele.</w:t>
      </w:r>
      <w:r w:rsidRPr="00125421">
        <w:rPr>
          <w:rFonts w:ascii="Minion Pro" w:hAnsi="Minion Pro"/>
          <w:color w:val="17365D" w:themeColor="text2" w:themeShade="BF"/>
        </w:rPr>
        <w:t>merkating</w:t>
      </w:r>
      <w:r w:rsidR="008D0FC2">
        <w:rPr>
          <w:rFonts w:ascii="Minion Pro" w:hAnsi="Minion Pro"/>
          <w:color w:val="17365D" w:themeColor="text2" w:themeShade="BF"/>
        </w:rPr>
        <w:t>@gmail.com</w:t>
      </w:r>
      <w:r w:rsidRPr="00125421">
        <w:rPr>
          <w:rFonts w:ascii="Minion Pro" w:hAnsi="Minion Pro"/>
          <w:color w:val="17365D" w:themeColor="text2" w:themeShade="BF"/>
        </w:rPr>
        <w:t xml:space="preserve">). </w:t>
      </w:r>
    </w:p>
    <w:p w14:paraId="5C8D0B3C" w14:textId="4741AB5E" w:rsidR="00974E11" w:rsidRPr="00125421" w:rsidRDefault="00974E11" w:rsidP="005B55C5">
      <w:pPr>
        <w:spacing w:after="120"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Értesítési kötelezettsége van a pályázónak az alábbi adatok változásakor:</w:t>
      </w:r>
    </w:p>
    <w:p w14:paraId="29F4F210" w14:textId="77777777" w:rsidR="00974E11" w:rsidRPr="00125421" w:rsidRDefault="00974E11" w:rsidP="00F90A31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 xml:space="preserve">hallgatói státusz; </w:t>
      </w:r>
    </w:p>
    <w:p w14:paraId="34F70D8E" w14:textId="77777777" w:rsidR="00974E11" w:rsidRPr="00125421" w:rsidRDefault="00974E11" w:rsidP="00F90A31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tanulmányok helye (az új felsőoktatási intézmény, kar, szak, megnevezése);</w:t>
      </w:r>
    </w:p>
    <w:p w14:paraId="04CFCDD7" w14:textId="77777777" w:rsidR="00974E11" w:rsidRPr="00125421" w:rsidRDefault="00974E11" w:rsidP="00F90A31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munkarend, finanszírozási forma;</w:t>
      </w:r>
    </w:p>
    <w:p w14:paraId="33186EFF" w14:textId="77777777" w:rsidR="00974E11" w:rsidRPr="00125421" w:rsidRDefault="00974E11" w:rsidP="00F90A31">
      <w:pPr>
        <w:numPr>
          <w:ilvl w:val="0"/>
          <w:numId w:val="3"/>
        </w:numPr>
        <w:spacing w:after="240" w:line="240" w:lineRule="auto"/>
        <w:ind w:left="714" w:hanging="357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személyes adatok (név, lakóhely, elektronikus levelezési cím, bankszámlaszám).</w:t>
      </w:r>
    </w:p>
    <w:p w14:paraId="4B6707D3" w14:textId="32687006" w:rsidR="00974E11" w:rsidRPr="00125421" w:rsidRDefault="00974E11" w:rsidP="00F90A31">
      <w:pPr>
        <w:spacing w:before="120"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Az az ösztöndíjas, aki értesítési kötelezettségének elmulasztása miatt esik el az ösztöndíj folyósításától, a tanulmányi félév lezárását követően újabb pályázati fordulóban nem vehet részt.</w:t>
      </w:r>
    </w:p>
    <w:p w14:paraId="4AA405AA" w14:textId="6F6F4633" w:rsidR="00974E11" w:rsidRPr="00125421" w:rsidRDefault="00974E11" w:rsidP="005B55C5">
      <w:pP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Az ösztöndíjas 30 napon belül köteles a jogosulatlanul felvett ösztöndíjat a pályázatot kezelő részére visszafizetni.</w:t>
      </w:r>
    </w:p>
    <w:p w14:paraId="117A26B3" w14:textId="77777777" w:rsidR="00974E11" w:rsidRDefault="00974E11" w:rsidP="005B55C5">
      <w:pPr>
        <w:spacing w:after="240"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Amennyiben megállapítást nyer, hogy a pályázó a pályázatban nem a valóságnak megfelelő adatokat szolgáltatta, vagy a pályázati feltételeknek egyébként nem felel meg, támogatásban nem részesülhet még abban az esetben sem, ha az ösztöndíj elnyeréséről szóló tájékoztatást már kézhez vette.</w:t>
      </w:r>
    </w:p>
    <w:p w14:paraId="162B4FA3" w14:textId="77777777" w:rsidR="00974E11" w:rsidRPr="00125421" w:rsidRDefault="00974E11" w:rsidP="005B55C5">
      <w:pPr>
        <w:pBdr>
          <w:bottom w:val="single" w:sz="4" w:space="1" w:color="17365D" w:themeColor="text2" w:themeShade="BF"/>
        </w:pBd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10. LEBONYOLÍTÁS</w:t>
      </w:r>
    </w:p>
    <w:p w14:paraId="169AD2F2" w14:textId="77777777" w:rsidR="00974E11" w:rsidRPr="00125421" w:rsidRDefault="00974E11" w:rsidP="005B55C5">
      <w:pPr>
        <w:spacing w:line="36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 xml:space="preserve">Az ösztöndíjpályázattal kapcsolatos központi adatbázis-kezelői, koordinációs, pénzkezelési feladatokat a </w:t>
      </w:r>
      <w:proofErr w:type="spellStart"/>
      <w:r w:rsidRPr="00125421">
        <w:rPr>
          <w:rFonts w:ascii="Minion Pro" w:hAnsi="Minion Pro"/>
          <w:color w:val="17365D" w:themeColor="text2" w:themeShade="BF"/>
        </w:rPr>
        <w:t>Merkating</w:t>
      </w:r>
      <w:proofErr w:type="spellEnd"/>
      <w:r w:rsidRPr="00125421">
        <w:rPr>
          <w:rFonts w:ascii="Minion Pro" w:hAnsi="Minion Pro"/>
          <w:color w:val="17365D" w:themeColor="text2" w:themeShade="BF"/>
        </w:rPr>
        <w:t xml:space="preserve"> Nonprofit Kft. látja el. </w:t>
      </w:r>
    </w:p>
    <w:p w14:paraId="4C9B4044" w14:textId="77777777" w:rsidR="00974E11" w:rsidRPr="00125421" w:rsidRDefault="00974E11" w:rsidP="00F90A31">
      <w:pPr>
        <w:spacing w:before="120" w:after="0" w:line="24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Az ösztöndíj-alapot kezelő elérhetősége:</w:t>
      </w:r>
    </w:p>
    <w:p w14:paraId="7AFD4CF0" w14:textId="77777777" w:rsidR="00974E11" w:rsidRPr="00125421" w:rsidRDefault="00974E11" w:rsidP="00F90A31">
      <w:pPr>
        <w:spacing w:before="120" w:after="0" w:line="24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Cégjegyzékszám: 16-09-010034</w:t>
      </w:r>
    </w:p>
    <w:p w14:paraId="627D8407" w14:textId="77777777" w:rsidR="00974E11" w:rsidRPr="00125421" w:rsidRDefault="00974E11" w:rsidP="00F90A31">
      <w:pPr>
        <w:spacing w:before="120" w:after="0" w:line="24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Székhely: 5000 Szolnok, Tiszaligeti sétány 14.</w:t>
      </w:r>
    </w:p>
    <w:p w14:paraId="043EEFAA" w14:textId="77777777" w:rsidR="00974E11" w:rsidRPr="00125421" w:rsidRDefault="00974E11" w:rsidP="00F90A31">
      <w:pPr>
        <w:spacing w:before="120" w:after="0" w:line="24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Adószám: 14295481-2-16</w:t>
      </w:r>
    </w:p>
    <w:p w14:paraId="7D7D0E8B" w14:textId="77777777" w:rsidR="00974E11" w:rsidRPr="00125421" w:rsidRDefault="00974E11" w:rsidP="00F90A31">
      <w:pPr>
        <w:spacing w:before="120" w:after="0" w:line="240" w:lineRule="auto"/>
        <w:jc w:val="both"/>
        <w:rPr>
          <w:rFonts w:ascii="Minion Pro" w:hAnsi="Minion Pro"/>
          <w:color w:val="17365D" w:themeColor="text2" w:themeShade="BF"/>
        </w:rPr>
      </w:pPr>
      <w:r w:rsidRPr="00125421">
        <w:rPr>
          <w:rFonts w:ascii="Minion Pro" w:hAnsi="Minion Pro"/>
          <w:color w:val="17365D" w:themeColor="text2" w:themeShade="BF"/>
        </w:rPr>
        <w:t>Képviseletre jogosult: Dr. Szakács Attila ügyvezető</w:t>
      </w:r>
    </w:p>
    <w:p w14:paraId="41A3D6C5" w14:textId="77777777" w:rsidR="00974E11" w:rsidRPr="00580479" w:rsidRDefault="00974E11" w:rsidP="00F90A31">
      <w:pPr>
        <w:spacing w:before="120" w:after="0" w:line="240" w:lineRule="auto"/>
        <w:jc w:val="both"/>
        <w:rPr>
          <w:rFonts w:ascii="Minion Pro" w:hAnsi="Minion Pro"/>
          <w:color w:val="17365D" w:themeColor="text2" w:themeShade="BF"/>
        </w:rPr>
      </w:pPr>
      <w:r w:rsidRPr="00580479">
        <w:rPr>
          <w:rFonts w:ascii="Minion Pro" w:hAnsi="Minion Pro"/>
          <w:color w:val="17365D" w:themeColor="text2" w:themeShade="BF"/>
        </w:rPr>
        <w:t xml:space="preserve">Kapcsolattartó: </w:t>
      </w:r>
      <w:r>
        <w:rPr>
          <w:rFonts w:ascii="Minion Pro" w:hAnsi="Minion Pro"/>
          <w:color w:val="17365D" w:themeColor="text2" w:themeShade="BF"/>
        </w:rPr>
        <w:t>Királyházi Andor</w:t>
      </w:r>
    </w:p>
    <w:p w14:paraId="4573092D" w14:textId="45AB1783" w:rsidR="00974E11" w:rsidRPr="00580479" w:rsidRDefault="00974E11" w:rsidP="00F90A31">
      <w:pPr>
        <w:spacing w:before="120" w:after="0" w:line="240" w:lineRule="auto"/>
        <w:jc w:val="both"/>
        <w:rPr>
          <w:rFonts w:ascii="Minion Pro" w:hAnsi="Minion Pro"/>
          <w:color w:val="17365D" w:themeColor="text2" w:themeShade="BF"/>
        </w:rPr>
      </w:pPr>
      <w:r w:rsidRPr="00580479">
        <w:rPr>
          <w:rFonts w:ascii="Minion Pro" w:hAnsi="Minion Pro"/>
          <w:color w:val="17365D" w:themeColor="text2" w:themeShade="BF"/>
        </w:rPr>
        <w:t xml:space="preserve">E-mail: </w:t>
      </w:r>
      <w:r w:rsidR="00397AD2">
        <w:rPr>
          <w:rFonts w:ascii="Minion Pro" w:hAnsi="Minion Pro"/>
          <w:color w:val="17365D" w:themeColor="text2" w:themeShade="BF"/>
        </w:rPr>
        <w:t>fog</w:t>
      </w:r>
      <w:r w:rsidR="004E73E8">
        <w:rPr>
          <w:rFonts w:ascii="Minion Pro" w:hAnsi="Minion Pro"/>
          <w:color w:val="17365D" w:themeColor="text2" w:themeShade="BF"/>
        </w:rPr>
        <w:t>y</w:t>
      </w:r>
      <w:r w:rsidR="00397AD2">
        <w:rPr>
          <w:rFonts w:ascii="Minion Pro" w:hAnsi="Minion Pro"/>
          <w:color w:val="17365D" w:themeColor="text2" w:themeShade="BF"/>
        </w:rPr>
        <w:t>asztovedelem.merkating@gmail.com</w:t>
      </w:r>
      <w:r>
        <w:rPr>
          <w:rFonts w:ascii="Minion Pro" w:hAnsi="Minion Pro"/>
          <w:color w:val="17365D" w:themeColor="text2" w:themeShade="BF"/>
        </w:rPr>
        <w:t xml:space="preserve">, </w:t>
      </w:r>
    </w:p>
    <w:p w14:paraId="6933D35E" w14:textId="77777777" w:rsidR="00505BA7" w:rsidRDefault="00974E11" w:rsidP="00F90A31">
      <w:pPr>
        <w:spacing w:before="120" w:after="0" w:line="240" w:lineRule="auto"/>
        <w:jc w:val="both"/>
      </w:pPr>
      <w:r w:rsidRPr="00580479">
        <w:rPr>
          <w:rFonts w:ascii="Minion Pro" w:hAnsi="Minion Pro"/>
          <w:color w:val="17365D" w:themeColor="text2" w:themeShade="BF"/>
        </w:rPr>
        <w:t>Telefon: 30/</w:t>
      </w:r>
      <w:r>
        <w:rPr>
          <w:rFonts w:ascii="Minion Pro" w:hAnsi="Minion Pro"/>
          <w:color w:val="17365D" w:themeColor="text2" w:themeShade="BF"/>
        </w:rPr>
        <w:t>958-8210</w:t>
      </w:r>
    </w:p>
    <w:sectPr w:rsidR="00505BA7" w:rsidSect="000D016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7F08" w14:textId="77777777" w:rsidR="00C9211A" w:rsidRDefault="00C9211A" w:rsidP="00974E11">
      <w:pPr>
        <w:spacing w:after="0" w:line="240" w:lineRule="auto"/>
      </w:pPr>
      <w:r>
        <w:separator/>
      </w:r>
    </w:p>
  </w:endnote>
  <w:endnote w:type="continuationSeparator" w:id="0">
    <w:p w14:paraId="00FE45C3" w14:textId="77777777" w:rsidR="00C9211A" w:rsidRDefault="00C9211A" w:rsidP="0097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11C" w14:textId="0CD908F4" w:rsidR="009E3A57" w:rsidRPr="00AC6950" w:rsidRDefault="00EE18C4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C81BAE">
      <w:rPr>
        <w:noProof/>
        <w:sz w:val="18"/>
        <w:szCs w:val="18"/>
      </w:rPr>
      <w:t>4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C81BAE">
      <w:rPr>
        <w:noProof/>
        <w:sz w:val="18"/>
        <w:szCs w:val="18"/>
      </w:rPr>
      <w:t>4</w:t>
    </w:r>
    <w:r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BC10" w14:textId="77777777" w:rsidR="00F217D5" w:rsidRPr="00125421" w:rsidRDefault="00EE18C4" w:rsidP="005F50BA">
    <w:pPr>
      <w:spacing w:line="240" w:lineRule="auto"/>
      <w:rPr>
        <w:rFonts w:ascii="Minion Pro" w:hAnsi="Minion Pro"/>
        <w:sz w:val="18"/>
        <w:szCs w:val="20"/>
      </w:rPr>
    </w:pPr>
    <w:r w:rsidRPr="00125421">
      <w:rPr>
        <w:rFonts w:ascii="Minion Pro" w:hAnsi="Minion Pro"/>
        <w:sz w:val="18"/>
        <w:szCs w:val="20"/>
      </w:rPr>
      <w:t>* A Kormányrendelet „állandó lakóhely” fogalma a polgárok személyi adatainak és lakcímének nyilvántartásáról szóló 1992. évi LXVI. törvény „lakóhely” fogalmának feleltethető meg, amelyet a pályázó a lakcímkártyájával tud igazolni.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8D8D" w14:textId="77777777" w:rsidR="00C9211A" w:rsidRDefault="00C9211A" w:rsidP="00974E11">
      <w:pPr>
        <w:spacing w:after="0" w:line="240" w:lineRule="auto"/>
      </w:pPr>
      <w:r>
        <w:separator/>
      </w:r>
    </w:p>
  </w:footnote>
  <w:footnote w:type="continuationSeparator" w:id="0">
    <w:p w14:paraId="5B4C44DE" w14:textId="77777777" w:rsidR="00C9211A" w:rsidRDefault="00C9211A" w:rsidP="0097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3D27" w14:textId="77777777" w:rsidR="009E3A57" w:rsidRPr="00AC6950" w:rsidRDefault="00000000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B5DA" w14:textId="2E5E65B6" w:rsidR="00974E11" w:rsidRDefault="00C766CF" w:rsidP="00613D0E">
    <w:pPr>
      <w:pStyle w:val="lfej"/>
      <w:jc w:val="center"/>
    </w:pPr>
    <w:r>
      <w:rPr>
        <w:rFonts w:ascii="Minion Pro" w:hAnsi="Minion Pro"/>
        <w:b/>
        <w:noProof/>
        <w:color w:val="17365D" w:themeColor="text2" w:themeShade="BF"/>
        <w:sz w:val="24"/>
        <w:lang w:eastAsia="hu-HU"/>
      </w:rPr>
      <w:drawing>
        <wp:inline distT="0" distB="0" distL="0" distR="0" wp14:anchorId="7670D380" wp14:editId="3E334228">
          <wp:extent cx="1143000" cy="11430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d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4E11">
      <w:rPr>
        <w:rFonts w:ascii="Minion Pro" w:hAnsi="Minion Pro"/>
        <w:b/>
        <w:noProof/>
        <w:color w:val="17365D" w:themeColor="text2" w:themeShade="BF"/>
        <w:sz w:val="24"/>
        <w:lang w:eastAsia="hu-HU"/>
      </w:rPr>
      <w:drawing>
        <wp:inline distT="0" distB="0" distL="0" distR="0" wp14:anchorId="5D709EF6" wp14:editId="4E483570">
          <wp:extent cx="816920" cy="1228725"/>
          <wp:effectExtent l="0" t="0" r="254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rkating_feher-hatt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31" cy="125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115"/>
    <w:multiLevelType w:val="hybridMultilevel"/>
    <w:tmpl w:val="CF5202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A564F"/>
    <w:multiLevelType w:val="hybridMultilevel"/>
    <w:tmpl w:val="F320B1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06CB2">
      <w:numFmt w:val="bullet"/>
      <w:lvlText w:val="-"/>
      <w:lvlJc w:val="left"/>
      <w:pPr>
        <w:ind w:left="1770" w:hanging="69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D40D7"/>
    <w:multiLevelType w:val="hybridMultilevel"/>
    <w:tmpl w:val="7FC62E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D07C7"/>
    <w:multiLevelType w:val="hybridMultilevel"/>
    <w:tmpl w:val="21F4FB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5234C"/>
    <w:multiLevelType w:val="hybridMultilevel"/>
    <w:tmpl w:val="AEC8CB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27070">
    <w:abstractNumId w:val="4"/>
  </w:num>
  <w:num w:numId="2" w16cid:durableId="1826702374">
    <w:abstractNumId w:val="2"/>
  </w:num>
  <w:num w:numId="3" w16cid:durableId="1099175365">
    <w:abstractNumId w:val="1"/>
  </w:num>
  <w:num w:numId="4" w16cid:durableId="2091727651">
    <w:abstractNumId w:val="0"/>
  </w:num>
  <w:num w:numId="5" w16cid:durableId="284432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D54"/>
    <w:rsid w:val="00026E70"/>
    <w:rsid w:val="00044B51"/>
    <w:rsid w:val="00090E6B"/>
    <w:rsid w:val="000A5928"/>
    <w:rsid w:val="00116F10"/>
    <w:rsid w:val="00122A47"/>
    <w:rsid w:val="00152D54"/>
    <w:rsid w:val="0016677F"/>
    <w:rsid w:val="001E5225"/>
    <w:rsid w:val="001F63CF"/>
    <w:rsid w:val="00216975"/>
    <w:rsid w:val="00236BAB"/>
    <w:rsid w:val="0026331C"/>
    <w:rsid w:val="002742E3"/>
    <w:rsid w:val="002F22CF"/>
    <w:rsid w:val="002F7F0C"/>
    <w:rsid w:val="00321ABE"/>
    <w:rsid w:val="00330C44"/>
    <w:rsid w:val="00346907"/>
    <w:rsid w:val="0037486D"/>
    <w:rsid w:val="00397AD2"/>
    <w:rsid w:val="003D1447"/>
    <w:rsid w:val="00435CCC"/>
    <w:rsid w:val="00471D52"/>
    <w:rsid w:val="004E262B"/>
    <w:rsid w:val="004E73E8"/>
    <w:rsid w:val="00543527"/>
    <w:rsid w:val="00550A76"/>
    <w:rsid w:val="00586430"/>
    <w:rsid w:val="005A7A15"/>
    <w:rsid w:val="005B55C5"/>
    <w:rsid w:val="005C5BFB"/>
    <w:rsid w:val="005E5160"/>
    <w:rsid w:val="00604804"/>
    <w:rsid w:val="00613D0E"/>
    <w:rsid w:val="00630953"/>
    <w:rsid w:val="0064229C"/>
    <w:rsid w:val="006700DC"/>
    <w:rsid w:val="00671874"/>
    <w:rsid w:val="0068466A"/>
    <w:rsid w:val="006B3DA0"/>
    <w:rsid w:val="006C2D64"/>
    <w:rsid w:val="006F5D2D"/>
    <w:rsid w:val="0074251B"/>
    <w:rsid w:val="00750C18"/>
    <w:rsid w:val="00761E11"/>
    <w:rsid w:val="007813B0"/>
    <w:rsid w:val="00797822"/>
    <w:rsid w:val="007A181C"/>
    <w:rsid w:val="007A3408"/>
    <w:rsid w:val="007D5DEE"/>
    <w:rsid w:val="008314C5"/>
    <w:rsid w:val="00837CE9"/>
    <w:rsid w:val="00875167"/>
    <w:rsid w:val="00875ACD"/>
    <w:rsid w:val="00876E71"/>
    <w:rsid w:val="008C017C"/>
    <w:rsid w:val="008C436B"/>
    <w:rsid w:val="008D0FC2"/>
    <w:rsid w:val="008E5724"/>
    <w:rsid w:val="008F17C9"/>
    <w:rsid w:val="008F2484"/>
    <w:rsid w:val="00905C27"/>
    <w:rsid w:val="009342F7"/>
    <w:rsid w:val="00974E11"/>
    <w:rsid w:val="009A20E0"/>
    <w:rsid w:val="009A6500"/>
    <w:rsid w:val="00A012AC"/>
    <w:rsid w:val="00A87C40"/>
    <w:rsid w:val="00B1555D"/>
    <w:rsid w:val="00BB2B52"/>
    <w:rsid w:val="00BE1E20"/>
    <w:rsid w:val="00C2242B"/>
    <w:rsid w:val="00C47736"/>
    <w:rsid w:val="00C766CF"/>
    <w:rsid w:val="00C81BAE"/>
    <w:rsid w:val="00C9211A"/>
    <w:rsid w:val="00CA7178"/>
    <w:rsid w:val="00CB4AEF"/>
    <w:rsid w:val="00CE1671"/>
    <w:rsid w:val="00CE2E29"/>
    <w:rsid w:val="00D23592"/>
    <w:rsid w:val="00D23A17"/>
    <w:rsid w:val="00D6665D"/>
    <w:rsid w:val="00D75453"/>
    <w:rsid w:val="00D86E62"/>
    <w:rsid w:val="00D964AA"/>
    <w:rsid w:val="00DA71A1"/>
    <w:rsid w:val="00DB5AF2"/>
    <w:rsid w:val="00DD3E74"/>
    <w:rsid w:val="00DE0DC8"/>
    <w:rsid w:val="00DE6633"/>
    <w:rsid w:val="00E2066F"/>
    <w:rsid w:val="00EB5850"/>
    <w:rsid w:val="00EC70F8"/>
    <w:rsid w:val="00EE18C4"/>
    <w:rsid w:val="00F14B38"/>
    <w:rsid w:val="00F318DB"/>
    <w:rsid w:val="00F812EC"/>
    <w:rsid w:val="00F90A31"/>
    <w:rsid w:val="00FB1209"/>
    <w:rsid w:val="00FC563B"/>
    <w:rsid w:val="00FD2844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15456"/>
  <w15:docId w15:val="{6DB81FF0-95C2-4E6C-9443-CD7E5C09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4E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74E11"/>
    <w:pPr>
      <w:autoSpaceDE w:val="0"/>
      <w:autoSpaceDN w:val="0"/>
      <w:adjustRightInd w:val="0"/>
      <w:spacing w:after="0" w:line="240" w:lineRule="auto"/>
    </w:pPr>
    <w:rPr>
      <w:rFonts w:ascii="Trajan Pro" w:hAnsi="Trajan Pro" w:cs="Trajan Pro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7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4E11"/>
  </w:style>
  <w:style w:type="paragraph" w:styleId="llb">
    <w:name w:val="footer"/>
    <w:basedOn w:val="Norml"/>
    <w:link w:val="llbChar"/>
    <w:uiPriority w:val="99"/>
    <w:unhideWhenUsed/>
    <w:rsid w:val="0097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4E11"/>
  </w:style>
  <w:style w:type="paragraph" w:styleId="Buborkszveg">
    <w:name w:val="Balloon Text"/>
    <w:basedOn w:val="Norml"/>
    <w:link w:val="BuborkszvegChar"/>
    <w:uiPriority w:val="99"/>
    <w:semiHidden/>
    <w:unhideWhenUsed/>
    <w:rsid w:val="0097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4E1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16F1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6F1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6F1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6F1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6F10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342F7"/>
    <w:pPr>
      <w:ind w:left="720"/>
      <w:contextualSpacing/>
    </w:pPr>
  </w:style>
  <w:style w:type="paragraph" w:styleId="Vltozat">
    <w:name w:val="Revision"/>
    <w:hidden/>
    <w:uiPriority w:val="99"/>
    <w:semiHidden/>
    <w:rsid w:val="00DE0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989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szakacsa</dc:creator>
  <cp:lastModifiedBy>User</cp:lastModifiedBy>
  <cp:revision>5</cp:revision>
  <cp:lastPrinted>2023-03-16T08:38:00Z</cp:lastPrinted>
  <dcterms:created xsi:type="dcterms:W3CDTF">2023-03-16T08:36:00Z</dcterms:created>
  <dcterms:modified xsi:type="dcterms:W3CDTF">2023-03-16T08:38:00Z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kernl@mnb.hu</vt:lpwstr>
  </property>
  <property fmtid="{D5CDD505-2E9C-101B-9397-08002B2CF9AE}" pid="6" name="MSIP_Label_b0d11092-50c9-4e74-84b5-b1af078dc3d0_SetDate">
    <vt:lpwstr>2019-01-31T15:15:42.7772016+01:00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2025-09-14T08:23:34Z</vt:filetime>
  </property>
  <property fmtid="{D5CDD505-2E9C-101B-9397-08002B2CF9AE}" pid="12" name="Érvényességet beállító">
    <vt:lpwstr>kernl</vt:lpwstr>
  </property>
  <property fmtid="{D5CDD505-2E9C-101B-9397-08002B2CF9AE}" pid="13" name="Érvényességi idő első beállítása">
    <vt:filetime>2020-09-14T08:23:34Z</vt:filetime>
  </property>
</Properties>
</file>