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0555093F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Merkating Nonprofit Kft. meghirdeti a Pallas Athéné Domus </w:t>
      </w:r>
      <w:r w:rsidR="00D341E8">
        <w:rPr>
          <w:rFonts w:ascii="Minion Pro" w:hAnsi="Minion Pro"/>
          <w:color w:val="17365D" w:themeColor="text2" w:themeShade="BF"/>
        </w:rPr>
        <w:t xml:space="preserve">Meriti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1324F3">
        <w:rPr>
          <w:rFonts w:ascii="Minion Pro" w:hAnsi="Minion Pro"/>
          <w:b/>
          <w:color w:val="17365D" w:themeColor="text2" w:themeShade="BF"/>
        </w:rPr>
        <w:t>2021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C01E47">
        <w:rPr>
          <w:rFonts w:ascii="Minion Pro" w:hAnsi="Minion Pro"/>
          <w:b/>
          <w:color w:val="17365D" w:themeColor="text2" w:themeShade="BF"/>
        </w:rPr>
        <w:t>2</w:t>
      </w:r>
      <w:r w:rsidR="001324F3">
        <w:rPr>
          <w:rFonts w:ascii="Minion Pro" w:hAnsi="Minion Pro"/>
          <w:b/>
          <w:color w:val="17365D" w:themeColor="text2" w:themeShade="BF"/>
        </w:rPr>
        <w:t>2</w:t>
      </w:r>
      <w:r w:rsidR="00A45EBF">
        <w:rPr>
          <w:rFonts w:ascii="Minion Pro" w:hAnsi="Minion Pro"/>
          <w:b/>
          <w:color w:val="17365D" w:themeColor="text2" w:themeShade="BF"/>
        </w:rPr>
        <w:t xml:space="preserve">. tanév </w:t>
      </w:r>
      <w:r w:rsidR="008B7085">
        <w:rPr>
          <w:rFonts w:ascii="Minion Pro" w:hAnsi="Minion Pro"/>
          <w:b/>
          <w:color w:val="17365D" w:themeColor="text2" w:themeShade="BF"/>
        </w:rPr>
        <w:t>I</w:t>
      </w:r>
      <w:r w:rsidRPr="00682B2B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r w:rsidR="00FF142A">
        <w:rPr>
          <w:rFonts w:ascii="Minion Pro" w:hAnsi="Minion Pro"/>
          <w:color w:val="17365D" w:themeColor="text2" w:themeShade="BF"/>
        </w:rPr>
        <w:t xml:space="preserve"> </w:t>
      </w:r>
      <w:bookmarkStart w:id="0" w:name="_Hlk531035501"/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0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1" w:name="_Hlk492284767"/>
      <w:r w:rsidRPr="00580479">
        <w:rPr>
          <w:rFonts w:ascii="Minion Pro" w:hAnsi="Minion Pro"/>
          <w:color w:val="17365D" w:themeColor="text2" w:themeShade="BF"/>
        </w:rPr>
        <w:t>Tiszaroffi Továbbtanulási Ösztöndíjpályázat</w:t>
      </w:r>
      <w:bookmarkEnd w:id="1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12FBEDCE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9D30DD">
        <w:rPr>
          <w:rFonts w:ascii="Minion Pro" w:hAnsi="Minion Pro"/>
          <w:color w:val="17365D" w:themeColor="text2" w:themeShade="BF"/>
        </w:rPr>
        <w:t>12.</w:t>
      </w:r>
      <w:r w:rsidR="0017143A">
        <w:rPr>
          <w:rFonts w:ascii="Minion Pro" w:hAnsi="Minion Pro"/>
          <w:color w:val="17365D" w:themeColor="text2" w:themeShade="BF"/>
        </w:rPr>
        <w:t>,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 xml:space="preserve">11. évfolyamon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74F745EA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201</w:t>
      </w:r>
      <w:r w:rsidR="002A116C">
        <w:rPr>
          <w:rFonts w:ascii="Minion Pro" w:hAnsi="Minion Pro"/>
          <w:color w:val="17365D" w:themeColor="text2" w:themeShade="BF"/>
        </w:rPr>
        <w:t>7</w:t>
      </w:r>
      <w:r w:rsidRPr="00580479">
        <w:rPr>
          <w:rFonts w:ascii="Minion Pro" w:hAnsi="Minion Pro"/>
          <w:color w:val="17365D" w:themeColor="text2" w:themeShade="BF"/>
        </w:rPr>
        <w:t xml:space="preserve">. augusztus 1-jétől állandó lakóhellyel* rendelkező tanulók jelentkezhetnek, akik középiskolai intézményben nappali munkarendben, érettségit eredményező képzésben folytatnak tanulmányokat és a </w:t>
      </w:r>
      <w:r w:rsidRPr="00682B2B">
        <w:rPr>
          <w:rFonts w:ascii="Minion Pro" w:hAnsi="Minion Pro"/>
          <w:b/>
          <w:color w:val="17365D" w:themeColor="text2" w:themeShade="BF"/>
        </w:rPr>
        <w:t>20</w:t>
      </w:r>
      <w:r w:rsidR="001324F3">
        <w:rPr>
          <w:rFonts w:ascii="Minion Pro" w:hAnsi="Minion Pro"/>
          <w:b/>
          <w:color w:val="17365D" w:themeColor="text2" w:themeShade="BF"/>
        </w:rPr>
        <w:t>21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A45EBF">
        <w:rPr>
          <w:rFonts w:ascii="Minion Pro" w:hAnsi="Minion Pro"/>
          <w:b/>
          <w:color w:val="17365D" w:themeColor="text2" w:themeShade="BF"/>
        </w:rPr>
        <w:t>2</w:t>
      </w:r>
      <w:r w:rsidR="001324F3">
        <w:rPr>
          <w:rFonts w:ascii="Minion Pro" w:hAnsi="Minion Pro"/>
          <w:b/>
          <w:color w:val="17365D" w:themeColor="text2" w:themeShade="BF"/>
        </w:rPr>
        <w:t>2., vagy a 2022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E66612">
        <w:rPr>
          <w:rFonts w:ascii="Minion Pro" w:hAnsi="Minion Pro"/>
          <w:b/>
          <w:color w:val="17365D" w:themeColor="text2" w:themeShade="BF"/>
        </w:rPr>
        <w:t>2</w:t>
      </w:r>
      <w:r w:rsidR="001324F3">
        <w:rPr>
          <w:rFonts w:ascii="Minion Pro" w:hAnsi="Minion Pro"/>
          <w:b/>
          <w:color w:val="17365D" w:themeColor="text2" w:themeShade="BF"/>
        </w:rPr>
        <w:t>3</w:t>
      </w:r>
      <w:r w:rsidRPr="00682B2B">
        <w:rPr>
          <w:rFonts w:ascii="Minion Pro" w:hAnsi="Minion Pro"/>
          <w:b/>
          <w:color w:val="17365D" w:themeColor="text2" w:themeShade="BF"/>
        </w:rPr>
        <w:t>.</w:t>
      </w:r>
      <w:r w:rsidRPr="00580479">
        <w:rPr>
          <w:rFonts w:ascii="Minion Pro" w:hAnsi="Minion Pro"/>
          <w:color w:val="17365D" w:themeColor="text2" w:themeShade="BF"/>
        </w:rPr>
        <w:t xml:space="preserve"> tanévben fognak érettségizni (</w:t>
      </w:r>
      <w:r w:rsidR="001324F3">
        <w:rPr>
          <w:rFonts w:ascii="Minion Pro" w:hAnsi="Minion Pro"/>
          <w:b/>
          <w:color w:val="17365D" w:themeColor="text2" w:themeShade="BF"/>
        </w:rPr>
        <w:t>2021</w:t>
      </w:r>
      <w:r w:rsidRPr="0064363C">
        <w:rPr>
          <w:rFonts w:ascii="Minion Pro" w:hAnsi="Minion Pro"/>
          <w:color w:val="17365D" w:themeColor="text2" w:themeShade="BF"/>
        </w:rPr>
        <w:t xml:space="preserve"> szeptemberében</w:t>
      </w:r>
      <w:r w:rsidRPr="00580479">
        <w:rPr>
          <w:rFonts w:ascii="Minion Pro" w:hAnsi="Minion Pro"/>
          <w:color w:val="17365D" w:themeColor="text2" w:themeShade="BF"/>
        </w:rPr>
        <w:t xml:space="preserve"> utolsó vagy utolsó előtti évüket kezd</w:t>
      </w:r>
      <w:r w:rsidR="008B7085">
        <w:rPr>
          <w:rFonts w:ascii="Minion Pro" w:hAnsi="Minion Pro"/>
          <w:color w:val="17365D" w:themeColor="text2" w:themeShade="BF"/>
        </w:rPr>
        <w:t>ték</w:t>
      </w:r>
      <w:r w:rsidRPr="00580479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és határideje </w:t>
      </w:r>
    </w:p>
    <w:p w14:paraId="6D54FA47" w14:textId="40A10150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egy példányát </w:t>
      </w:r>
      <w:r w:rsidR="001324F3">
        <w:rPr>
          <w:rFonts w:ascii="Minion Pro" w:hAnsi="Minion Pro"/>
          <w:b/>
          <w:color w:val="17365D" w:themeColor="text2" w:themeShade="BF"/>
        </w:rPr>
        <w:t>2021</w:t>
      </w:r>
      <w:r w:rsidR="008B7085">
        <w:rPr>
          <w:rFonts w:ascii="Minion Pro" w:hAnsi="Minion Pro"/>
          <w:b/>
          <w:color w:val="17365D" w:themeColor="text2" w:themeShade="BF"/>
        </w:rPr>
        <w:t xml:space="preserve">. </w:t>
      </w:r>
      <w:r w:rsidR="00A45EBF">
        <w:rPr>
          <w:rFonts w:ascii="Minion Pro" w:hAnsi="Minion Pro"/>
          <w:b/>
          <w:color w:val="17365D" w:themeColor="text2" w:themeShade="BF"/>
        </w:rPr>
        <w:t xml:space="preserve">október </w:t>
      </w:r>
      <w:r w:rsidR="00CC5266">
        <w:rPr>
          <w:rFonts w:ascii="Minion Pro" w:hAnsi="Minion Pro"/>
          <w:b/>
          <w:color w:val="17365D" w:themeColor="text2" w:themeShade="BF"/>
        </w:rPr>
        <w:t>19</w:t>
      </w:r>
      <w:bookmarkStart w:id="2" w:name="_GoBack"/>
      <w:bookmarkEnd w:id="2"/>
      <w:r w:rsidR="00E90BF1">
        <w:rPr>
          <w:rFonts w:ascii="Minion Pro" w:hAnsi="Minion Pro"/>
          <w:b/>
          <w:color w:val="17365D" w:themeColor="text2" w:themeShade="BF"/>
        </w:rPr>
        <w:t>.</w:t>
      </w:r>
      <w:r w:rsidRPr="00682B2B">
        <w:rPr>
          <w:rFonts w:ascii="Minion Pro" w:hAnsi="Minion Pro"/>
          <w:b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napjáig postai úton</w:t>
      </w:r>
      <w:r w:rsidR="008B7085">
        <w:rPr>
          <w:rFonts w:ascii="Minion Pro" w:hAnsi="Minion Pro"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Merkating Nonprofit Kft.-hez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3" w:name="_Hlk505617518"/>
      <w:r>
        <w:rPr>
          <w:rFonts w:ascii="Minion Pro" w:hAnsi="Minion Pro"/>
          <w:i/>
          <w:color w:val="17365D" w:themeColor="text2" w:themeShade="BF"/>
        </w:rPr>
        <w:t>A felsőoktatási intézménybe történő jelentkezést igazoló dokumentum</w:t>
      </w:r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3"/>
    <w:p w14:paraId="587BC0B9" w14:textId="22FA6E3C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>az aktuális tanévet megelőző félévi (pl. a 20</w:t>
      </w:r>
      <w:r w:rsidR="00A45EBF">
        <w:rPr>
          <w:rFonts w:ascii="Minion Pro" w:hAnsi="Minion Pro"/>
          <w:i/>
          <w:color w:val="17365D" w:themeColor="text2" w:themeShade="BF"/>
        </w:rPr>
        <w:t>2</w:t>
      </w:r>
      <w:r w:rsidR="001324F3">
        <w:rPr>
          <w:rFonts w:ascii="Minion Pro" w:hAnsi="Minion Pro"/>
          <w:i/>
          <w:color w:val="17365D" w:themeColor="text2" w:themeShade="BF"/>
        </w:rPr>
        <w:t>1</w:t>
      </w:r>
      <w:r w:rsidR="00FF142A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</w:t>
      </w:r>
      <w:r w:rsidR="001324F3">
        <w:rPr>
          <w:rFonts w:ascii="Minion Pro" w:hAnsi="Minion Pro"/>
          <w:i/>
          <w:color w:val="17365D" w:themeColor="text2" w:themeShade="BF"/>
        </w:rPr>
        <w:t>2</w:t>
      </w:r>
      <w:r w:rsidR="00FF142A">
        <w:rPr>
          <w:rFonts w:ascii="Minion Pro" w:hAnsi="Minion Pro"/>
          <w:i/>
          <w:color w:val="17365D" w:themeColor="text2" w:themeShade="BF"/>
        </w:rPr>
        <w:t xml:space="preserve"> I. félévi pályázathoz a </w:t>
      </w:r>
      <w:r w:rsidR="001324F3">
        <w:rPr>
          <w:rFonts w:ascii="Minion Pro" w:hAnsi="Minion Pro"/>
          <w:i/>
          <w:color w:val="17365D" w:themeColor="text2" w:themeShade="BF"/>
        </w:rPr>
        <w:t>2020</w:t>
      </w:r>
      <w:r w:rsidR="007D2849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</w:t>
      </w:r>
      <w:r w:rsidR="001324F3">
        <w:rPr>
          <w:rFonts w:ascii="Minion Pro" w:hAnsi="Minion Pro"/>
          <w:i/>
          <w:color w:val="17365D" w:themeColor="text2" w:themeShade="BF"/>
        </w:rPr>
        <w:t>1</w:t>
      </w:r>
      <w:r w:rsidR="007D2849">
        <w:rPr>
          <w:rFonts w:ascii="Minion Pro" w:hAnsi="Minion Pro"/>
          <w:i/>
          <w:color w:val="17365D" w:themeColor="text2" w:themeShade="BF"/>
        </w:rPr>
        <w:t xml:space="preserve"> tanév </w:t>
      </w:r>
      <w:r w:rsidR="00682B2B">
        <w:rPr>
          <w:rFonts w:ascii="Minion Pro" w:hAnsi="Minion Pro"/>
          <w:i/>
          <w:color w:val="17365D" w:themeColor="text2" w:themeShade="BF"/>
        </w:rPr>
        <w:t>é</w:t>
      </w:r>
      <w:r w:rsidR="00A45EBF">
        <w:rPr>
          <w:rFonts w:ascii="Minion Pro" w:hAnsi="Minion Pro"/>
          <w:i/>
          <w:color w:val="17365D" w:themeColor="text2" w:themeShade="BF"/>
        </w:rPr>
        <w:t>v</w:t>
      </w:r>
      <w:r w:rsidR="00682B2B">
        <w:rPr>
          <w:rFonts w:ascii="Minion Pro" w:hAnsi="Minion Pro"/>
          <w:i/>
          <w:color w:val="17365D" w:themeColor="text2" w:themeShade="BF"/>
        </w:rPr>
        <w:t>v</w:t>
      </w:r>
      <w:r w:rsidR="00A45EBF">
        <w:rPr>
          <w:rFonts w:ascii="Minion Pro" w:hAnsi="Minion Pro"/>
          <w:i/>
          <w:color w:val="17365D" w:themeColor="text2" w:themeShade="BF"/>
        </w:rPr>
        <w:t>ég</w:t>
      </w:r>
      <w:r w:rsidR="00682B2B">
        <w:rPr>
          <w:rFonts w:ascii="Minion Pro" w:hAnsi="Minion Pro"/>
          <w:i/>
          <w:color w:val="17365D" w:themeColor="text2" w:themeShade="BF"/>
        </w:rPr>
        <w:t>i</w:t>
      </w:r>
      <w:r w:rsidR="00FF142A">
        <w:rPr>
          <w:rFonts w:ascii="Minion Pro" w:hAnsi="Minion Pro"/>
          <w:i/>
          <w:color w:val="17365D" w:themeColor="text2" w:themeShade="BF"/>
        </w:rPr>
        <w:t>)</w:t>
      </w:r>
      <w:r w:rsidRPr="001D3487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bizonyítványának</w:t>
      </w:r>
      <w:r w:rsidR="00682B2B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fénymásolata</w:t>
      </w:r>
      <w:r w:rsidRPr="001D3487">
        <w:rPr>
          <w:rFonts w:ascii="Minion Pro" w:hAnsi="Minion Pro"/>
          <w:i/>
          <w:color w:val="17365D" w:themeColor="text2" w:themeShade="BF"/>
        </w:rPr>
        <w:t>.</w:t>
      </w:r>
      <w:r w:rsidR="00657736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6. Értesítés a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>Egyetem tulajdonában álló Merkating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 folyósítása aktív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lastRenderedPageBreak/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Merkating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stb….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>az aktuális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ösztöndíjat a Merkating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7D6F3C6B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r w:rsidRPr="0064363C">
        <w:rPr>
          <w:rFonts w:ascii="Minion Pro" w:hAnsi="Minion Pro"/>
          <w:color w:val="17365D" w:themeColor="text2" w:themeShade="BF"/>
        </w:rPr>
        <w:t xml:space="preserve">félévente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r w:rsidRPr="0064363C">
        <w:rPr>
          <w:rFonts w:ascii="Minion Pro" w:hAnsi="Minion Pro"/>
          <w:color w:val="17365D" w:themeColor="text2" w:themeShade="BF"/>
        </w:rPr>
        <w:t xml:space="preserve">Pallas Athéné Domus </w:t>
      </w:r>
      <w:r w:rsidR="00D341E8">
        <w:rPr>
          <w:rFonts w:ascii="Minion Pro" w:hAnsi="Minion Pro"/>
          <w:color w:val="17365D" w:themeColor="text2" w:themeShade="BF"/>
        </w:rPr>
        <w:t>Meriti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lastRenderedPageBreak/>
        <w:t>Kérjük a Merkating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9. A pályázók értesítési kötelezettségei</w:t>
      </w:r>
    </w:p>
    <w:p w14:paraId="49485C2A" w14:textId="0965F51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Merkating Nonprofit Kft. 5000 Szolnok, Tiszaligeti sétány 14., e-mail: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státusz;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Merkating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4EC03B8F" w14:textId="77777777" w:rsidR="004976DA" w:rsidRPr="00B81B95" w:rsidRDefault="004976DA" w:rsidP="00CB6E91">
      <w:pPr>
        <w:spacing w:line="240" w:lineRule="auto"/>
        <w:jc w:val="both"/>
        <w:rPr>
          <w:rStyle w:val="Hiperhivatkozs"/>
          <w:rFonts w:ascii="Minion Pro" w:hAnsi="Minion Pro"/>
          <w:sz w:val="16"/>
          <w:szCs w:val="16"/>
          <w:u w:val="none"/>
        </w:rPr>
      </w:pPr>
    </w:p>
    <w:p w14:paraId="26FB69AC" w14:textId="3430799F" w:rsidR="00517309" w:rsidRDefault="00517309" w:rsidP="00CB6E91">
      <w:pPr>
        <w:spacing w:after="24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17309" w:rsidSect="00CB6E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9A28" w14:textId="77777777" w:rsidR="00F37AF2" w:rsidRDefault="00F37AF2" w:rsidP="00B657D7">
      <w:pPr>
        <w:spacing w:after="0" w:line="240" w:lineRule="auto"/>
      </w:pPr>
      <w:r>
        <w:separator/>
      </w:r>
    </w:p>
  </w:endnote>
  <w:endnote w:type="continuationSeparator" w:id="0">
    <w:p w14:paraId="0138CF7C" w14:textId="77777777" w:rsidR="00F37AF2" w:rsidRDefault="00F37AF2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17BF" w14:textId="35CE03C2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CC526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CC526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97DB" w14:textId="77777777" w:rsidR="00F37AF2" w:rsidRDefault="00F37AF2" w:rsidP="00B657D7">
      <w:pPr>
        <w:spacing w:after="0" w:line="240" w:lineRule="auto"/>
      </w:pPr>
      <w:r>
        <w:separator/>
      </w:r>
    </w:p>
  </w:footnote>
  <w:footnote w:type="continuationSeparator" w:id="0">
    <w:p w14:paraId="27AD93DA" w14:textId="77777777" w:rsidR="00F37AF2" w:rsidRDefault="00F37AF2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BA99" w14:textId="77777777" w:rsidR="009E3A57" w:rsidRPr="00AC6950" w:rsidRDefault="00CC5266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8"/>
    <w:rsid w:val="00023214"/>
    <w:rsid w:val="00040E63"/>
    <w:rsid w:val="00082CA3"/>
    <w:rsid w:val="00090C71"/>
    <w:rsid w:val="000E0990"/>
    <w:rsid w:val="000F5517"/>
    <w:rsid w:val="00125999"/>
    <w:rsid w:val="001324F3"/>
    <w:rsid w:val="0017143A"/>
    <w:rsid w:val="00175B58"/>
    <w:rsid w:val="0017638C"/>
    <w:rsid w:val="001A7624"/>
    <w:rsid w:val="001F661B"/>
    <w:rsid w:val="002A116C"/>
    <w:rsid w:val="00326102"/>
    <w:rsid w:val="00386DA8"/>
    <w:rsid w:val="003D467F"/>
    <w:rsid w:val="00424DC5"/>
    <w:rsid w:val="00437C8D"/>
    <w:rsid w:val="00456B52"/>
    <w:rsid w:val="004976DA"/>
    <w:rsid w:val="00517309"/>
    <w:rsid w:val="00520B8C"/>
    <w:rsid w:val="005E0FB7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B2869"/>
    <w:rsid w:val="007B5DE7"/>
    <w:rsid w:val="007B6F2A"/>
    <w:rsid w:val="007D2849"/>
    <w:rsid w:val="00826C93"/>
    <w:rsid w:val="008603FF"/>
    <w:rsid w:val="00863A64"/>
    <w:rsid w:val="008A221D"/>
    <w:rsid w:val="008B368B"/>
    <w:rsid w:val="008B7085"/>
    <w:rsid w:val="0092437E"/>
    <w:rsid w:val="00986094"/>
    <w:rsid w:val="009D30DD"/>
    <w:rsid w:val="009F4F9A"/>
    <w:rsid w:val="009F69EA"/>
    <w:rsid w:val="00A023FF"/>
    <w:rsid w:val="00A1695E"/>
    <w:rsid w:val="00A319B1"/>
    <w:rsid w:val="00A45EBF"/>
    <w:rsid w:val="00A45FC0"/>
    <w:rsid w:val="00A83D17"/>
    <w:rsid w:val="00A9226E"/>
    <w:rsid w:val="00B00D4E"/>
    <w:rsid w:val="00B220B1"/>
    <w:rsid w:val="00B60951"/>
    <w:rsid w:val="00B657D7"/>
    <w:rsid w:val="00B81B95"/>
    <w:rsid w:val="00B910DE"/>
    <w:rsid w:val="00BA7438"/>
    <w:rsid w:val="00C01E47"/>
    <w:rsid w:val="00C066F6"/>
    <w:rsid w:val="00CB6E91"/>
    <w:rsid w:val="00CC5266"/>
    <w:rsid w:val="00D223B0"/>
    <w:rsid w:val="00D341E8"/>
    <w:rsid w:val="00D803B3"/>
    <w:rsid w:val="00D87244"/>
    <w:rsid w:val="00DB2B84"/>
    <w:rsid w:val="00DE2206"/>
    <w:rsid w:val="00DE7BBE"/>
    <w:rsid w:val="00E00FC1"/>
    <w:rsid w:val="00E1030B"/>
    <w:rsid w:val="00E66612"/>
    <w:rsid w:val="00E90BF1"/>
    <w:rsid w:val="00EB093B"/>
    <w:rsid w:val="00ED1083"/>
    <w:rsid w:val="00EF2028"/>
    <w:rsid w:val="00F033AE"/>
    <w:rsid w:val="00F23F03"/>
    <w:rsid w:val="00F37AF2"/>
    <w:rsid w:val="00F57E6E"/>
    <w:rsid w:val="00FB6DE0"/>
    <w:rsid w:val="00FC11B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965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Dr. Szakács Attila</cp:lastModifiedBy>
  <cp:revision>21</cp:revision>
  <cp:lastPrinted>2019-02-01T15:42:00Z</cp:lastPrinted>
  <dcterms:created xsi:type="dcterms:W3CDTF">2019-02-01T15:42:00Z</dcterms:created>
  <dcterms:modified xsi:type="dcterms:W3CDTF">2021-10-07T07:31:00Z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